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C874" w14:textId="77777777" w:rsidR="00287216" w:rsidRPr="00287216" w:rsidRDefault="00287216" w:rsidP="0028721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bidi="si-LK"/>
          <w14:ligatures w14:val="none"/>
        </w:rPr>
      </w:pPr>
      <w:r w:rsidRPr="00287216">
        <w:rPr>
          <w:rFonts w:ascii="Aptos" w:eastAsia="Times New Roman" w:hAnsi="Aptos" w:cs="Segoe UI"/>
          <w:kern w:val="0"/>
          <w:bdr w:val="none" w:sz="0" w:space="0" w:color="auto" w:frame="1"/>
          <w:shd w:val="clear" w:color="auto" w:fill="606060"/>
          <w:lang w:bidi="si-LK"/>
          <w14:ligatures w14:val="none"/>
        </w:rPr>
        <w:t> </w:t>
      </w:r>
    </w:p>
    <w:tbl>
      <w:tblPr>
        <w:tblStyle w:val="TableGrid"/>
        <w:tblW w:w="12950" w:type="dxa"/>
        <w:tblLook w:val="04A0" w:firstRow="1" w:lastRow="0" w:firstColumn="1" w:lastColumn="0" w:noHBand="0" w:noVBand="1"/>
      </w:tblPr>
      <w:tblGrid>
        <w:gridCol w:w="696"/>
        <w:gridCol w:w="715"/>
        <w:gridCol w:w="961"/>
        <w:gridCol w:w="1716"/>
        <w:gridCol w:w="2975"/>
        <w:gridCol w:w="2902"/>
        <w:gridCol w:w="1667"/>
        <w:gridCol w:w="1318"/>
      </w:tblGrid>
      <w:tr w:rsidR="0072538E" w:rsidRPr="00287216" w14:paraId="5D45053C" w14:textId="77777777" w:rsidTr="0072538E">
        <w:trPr>
          <w:trHeight w:val="285"/>
        </w:trPr>
        <w:tc>
          <w:tcPr>
            <w:tcW w:w="696" w:type="dxa"/>
          </w:tcPr>
          <w:p w14:paraId="65EE69DE" w14:textId="3571A011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User story ID</w:t>
            </w:r>
          </w:p>
        </w:tc>
        <w:tc>
          <w:tcPr>
            <w:tcW w:w="744" w:type="dxa"/>
            <w:hideMark/>
          </w:tcPr>
          <w:p w14:paraId="071ABAB3" w14:textId="27D9B480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Test case ID </w:t>
            </w:r>
          </w:p>
        </w:tc>
        <w:tc>
          <w:tcPr>
            <w:tcW w:w="983" w:type="dxa"/>
            <w:hideMark/>
          </w:tcPr>
          <w:p w14:paraId="27790D1E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Feature Name </w:t>
            </w:r>
          </w:p>
        </w:tc>
        <w:tc>
          <w:tcPr>
            <w:tcW w:w="1312" w:type="dxa"/>
            <w:hideMark/>
          </w:tcPr>
          <w:p w14:paraId="69F8F231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Steps </w:t>
            </w:r>
          </w:p>
        </w:tc>
        <w:tc>
          <w:tcPr>
            <w:tcW w:w="3310" w:type="dxa"/>
            <w:hideMark/>
          </w:tcPr>
          <w:p w14:paraId="0E7027C8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Test Data </w:t>
            </w:r>
          </w:p>
        </w:tc>
        <w:tc>
          <w:tcPr>
            <w:tcW w:w="2902" w:type="dxa"/>
            <w:hideMark/>
          </w:tcPr>
          <w:p w14:paraId="7FB2DF4C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Expected outcome </w:t>
            </w:r>
          </w:p>
        </w:tc>
        <w:tc>
          <w:tcPr>
            <w:tcW w:w="1672" w:type="dxa"/>
            <w:hideMark/>
          </w:tcPr>
          <w:p w14:paraId="0C2D56EE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Actual outcome </w:t>
            </w:r>
          </w:p>
        </w:tc>
        <w:tc>
          <w:tcPr>
            <w:tcW w:w="1331" w:type="dxa"/>
            <w:hideMark/>
          </w:tcPr>
          <w:p w14:paraId="426CA6BA" w14:textId="77777777" w:rsidR="0072538E" w:rsidRPr="00287216" w:rsidRDefault="0072538E" w:rsidP="00287216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287216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Status (Pass/Fail) </w:t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US-26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Automated review reminders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Navigate to the Follow-ups page</w:t>
            </w:r>
          </w:p>
          <w:p>
            <w:r>
              <w:rPr>
                <w:rFonts w:ascii="Times New Roman" w:hAnsi="Times New Roman"/>
              </w:rPr>
              <w:t>View the Pending CV Review section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Every application still at the APPLIED stage (not yet shortlisted or rejected) appears in the list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US-26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TCI-59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Automated review reminders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View the Pending Feedback section</w:t>
            </w:r>
          </w:p>
          <w:p>
            <w:r>
              <w:rPr>
                <w:rFonts w:ascii="Times New Roman" w:hAnsi="Times New Roman"/>
              </w:rPr>
              <w:t>Identify a past interview with a panelist who has not yet submitted feedback</w:t>
            </w:r>
          </w:p>
          <w:p>
            <w:r>
              <w:rPr>
                <w:rFonts w:ascii="Times New Roman" w:hAnsi="Times New Roman"/>
              </w:rPr>
              <w:t>Click Send Reminder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A reminder email is sent to that interviewer and the action is confirmed to HR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US-26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Automated review reminders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Attempt to send a reminder to a panelist who has already submitted feedback for that interview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The request is rejected — reminders cannot be sent once feedback has been submitted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>
              <w:rPr>
                <w:rFonts w:ascii="Times New Roman" w:hAnsi="Times New Roman"/>
              </w:rPr>
              <w:t>US-26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TCI-110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Automated review reminders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Shortlist or reject the APPLIED application from TCI-58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It no longer appears in Pending CV Review — there is no fixed 2-week timer; visibility is derived live from current application state, not a scheduled job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reminder emails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Schedule an interview</w:t>
            </w:r>
          </w:p>
          <w:p>
            <w:r>
              <w:rPr>
                <w:rFonts w:ascii="Times New Roman" w:hAnsi="Times New Roman"/>
              </w:rPr>
              <w:t>Wait until one day before, then one hour before the interview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Reminder emails are sent to the interviewer with the interview date, time and location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US-27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Interview reminder emails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Cancel a scheduled interview before its reminder is due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No reminder email is sent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TCI-66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Pending follow-up visibility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HR Officer</w:t>
            </w:r>
          </w:p>
          <w:p>
            <w:r>
              <w:rPr>
                <w:rFonts w:ascii="Times New Roman" w:hAnsi="Times New Roman"/>
              </w:rPr>
              <w:t>Open the Pending Follow-ups page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Pending follow-up tasks are displayed with the candidate name and required action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US-29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TCI-67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Pending follow-up visibility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Mark a follow-up task as completed</w:t>
            </w:r>
          </w:p>
          <w:p>
            <w:r>
              <w:rPr>
                <w:rFonts w:ascii="Times New Roman" w:hAnsi="Times New Roman"/>
              </w:rPr>
              <w:t>Refresh the follow-up list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completed follow-up task no longer appears in the pending list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US-31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stage monitoring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Log in as Management</w:t>
            </w:r>
          </w:p>
          <w:p>
            <w:r>
              <w:rPr>
                <w:rFonts w:ascii="Times New Roman" w:hAnsi="Times New Roman"/>
              </w:rPr>
              <w:t>Open the Recruitment Progress breakdown (Management/Leadership dashboard)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Counts are shown against the 4 fixed anchors (Applied, Shortlisted, Hired, Rejected) plus one bucket per configured interview round, aggregated by round order — not a fixed universal 7-stage list, since each vacancy can configure a different number/names of rounds. Note: a dedicated ‘Candidate Stage Monitoring’ screen with its own date-range filter (this story’s literal ask) is not built — this is the closest existing equivalent.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US-31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stage monitoring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Attempt to filter the Recruitment Progress breakdown by an invalid date range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N/A — no date-range filter exists for this view yet; remains open Sprint 2 scope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US-31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stage monitoring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record a ‘Hire’ decision for a candidate who has not yet reached the Final Interview stage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e.g. candidate at Interview 2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request is rejected with a “candidate must reach Final Interview first” error; the candidate's stage is unchanged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US-31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Candidate stage monitoring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Record a ‘Reject’ decision for a candidate at an earlier stage (e.g. Shortlisted, Interview 1)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rejection succeeds — unlike Hired, Rejected is a valid outcome from any stage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TCI-76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Recruitment bottleneck identification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Management</w:t>
            </w:r>
          </w:p>
          <w:p>
            <w:r>
              <w:rPr>
                <w:rFonts w:ascii="Times New Roman" w:hAnsi="Times New Roman"/>
              </w:rPr>
              <w:t>Open the Recruitment Bottleneck dashboard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dashboard displays applicant counts, average hiring time, and the time gap between vacancies for the same position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TCI-77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Recruitment bottleneck identification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the bottleneck view for a vacancy with no candidates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No bottleneck data is displayed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US-35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Cross-department performance monitoring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Leadership Management</w:t>
            </w:r>
          </w:p>
          <w:p>
            <w:r>
              <w:rPr>
                <w:rFonts w:ascii="Times New Roman" w:hAnsi="Times New Roman"/>
              </w:rPr>
              <w:t>Select two or more departments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Recruitment performance metrics for the selected departments are displayed side by side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US-35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Cross-department performance monitoring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Apply an invalid filter value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validation message is displayed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US-36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Historical recruitment trends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PENDING — Sprint 2 feature, not yet built; acceptance criteria not finalized.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TCI-86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Gmail integration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IT Administrator</w:t>
            </w:r>
          </w:p>
          <w:p>
            <w:r>
              <w:rPr>
                <w:rFonts w:ascii="Times New Roman" w:hAnsi="Times New Roman"/>
              </w:rPr>
              <w:t>Configure the Gmail integration with valid credentials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Integration status shows as connected and is visible to the IT Administrator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TCI-87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Gmail integration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Trigger any automated recruitment email with Gmail integration configured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email is sent through the configured Gmail account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US-39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TCI-88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Gmail integration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Simulate a failed send (e.g. revoke Gmail credentials) and trigger a notification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failed send is logged and reported to the IT Administrator, with an option to resend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TCI-89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Configurable notification templates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IT Administrator</w:t>
            </w:r>
          </w:p>
          <w:p>
            <w:r>
              <w:rPr>
                <w:rFonts w:ascii="Times New Roman" w:hAnsi="Times New Roman"/>
              </w:rPr>
              <w:t>Create/edit a notification template with variable placeholders</w:t>
            </w:r>
          </w:p>
          <w:p>
            <w:r>
              <w:rPr>
                <w:rFonts w:ascii="Times New Roman" w:hAnsi="Times New Roman"/>
              </w:rPr>
              <w:t>Save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updated template is used for future notifications immediately, and the change is logged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US-42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TCI-90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Configurable notification templates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delete a template that is currently in use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An error message is displayed, and the template is not deleted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System-wide audit logging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Perform any system activity</w:t>
            </w:r>
          </w:p>
          <w:p>
            <w:r>
              <w:rPr>
                <w:rFonts w:ascii="Times New Roman" w:hAnsi="Times New Roman"/>
              </w:rPr>
              <w:t>Open the system audit log as authorized IT staff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activity is logged with user, timestamp and action, and retained per compliance requirements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US-43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System-wide audit logging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delete a log entry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system prevents deletion of the log entry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Automatic system backups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IT Administrator</w:t>
            </w:r>
          </w:p>
          <w:p>
            <w:r>
              <w:rPr>
                <w:rFonts w:ascii="Times New Roman" w:hAnsi="Times New Roman"/>
              </w:rPr>
              <w:t>Configure backup frequency</w:t>
            </w:r>
          </w:p>
          <w:p>
            <w:r>
              <w:rPr>
                <w:rFonts w:ascii="Times New Roman" w:hAnsi="Times New Roman"/>
              </w:rPr>
              <w:t>Wait for the scheduled backup to run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backup runs automatically and its completion status is logged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US-44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Automatic system backups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Attempt to delete a backup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Deletion is restricted based on the retention policy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US-45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TCI-95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System performance monitoring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Log in as IT Administrator</w:t>
            </w:r>
          </w:p>
          <w:p>
            <w:r>
              <w:rPr>
                <w:rFonts w:ascii="Times New Roman" w:hAnsi="Times New Roman"/>
              </w:rPr>
              <w:t>Open the performance monitoring dashboard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Current system performance metrics are displayed, supporting at least 1000 concurrent candidate records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US-45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TCI-96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System performance monitoring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Simulate load exceeding the defined performance threshold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A performance alert is raised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US-46</w:t>
            </w:r>
          </w:p>
        </w:tc>
        <w:tc>
          <w:tcPr>
            <w:tcW w:type="dxa" w:w="71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961"/>
          </w:tcPr>
          <w:p>
            <w:r>
              <w:rPr>
                <w:rFonts w:ascii="Times New Roman" w:hAnsi="Times New Roman"/>
              </w:rPr>
              <w:t>Duplicate candidate detection</w:t>
            </w:r>
          </w:p>
        </w:tc>
        <w:tc>
          <w:tcPr>
            <w:tcW w:type="dxa" w:w="1716"/>
          </w:tcPr>
          <w:p>
            <w:r>
              <w:rPr>
                <w:rFonts w:ascii="Times New Roman" w:hAnsi="Times New Roman"/>
              </w:rPr>
              <w:t>NOT BUILT — the duplicate-detection rule itself has been decided: same CV + same vacancy blocks a duplicate upload; same CV + same email links a candidate’s applications across different vacancies (not treated as a duplicate). Enforcement is not yet implemented.</w:t>
            </w:r>
          </w:p>
        </w:tc>
        <w:tc>
          <w:tcPr>
            <w:tcW w:type="dxa" w:w="2975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TCI-101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Hiring trend dashboard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the hiring trend dashboard for a department with hiring data</w:t>
            </w:r>
          </w:p>
          <w:p>
            <w:r>
              <w:rPr>
                <w:rFonts w:ascii="Times New Roman" w:hAnsi="Times New Roman"/>
              </w:rPr>
              <w:t>Filter by department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Hiring trends, time-to-hire and recruitment efficiency metrics are displayed for the selected department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US-49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TCI-102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Hiring trend dashboard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Open the dashboard for a department with no hiring data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dashboard displays zero/empty values instead of an error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US-50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TCI-103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Multi-channel notifications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Trigger a recruitment notification for an interviewer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notification is delivered both in-app and via email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696"/>
          </w:tcPr>
          <w:p>
            <w:r/>
            <w:r>
              <w:rPr>
                <w:rFonts w:ascii="Times New Roman" w:hAnsi="Times New Roman"/>
              </w:rPr>
              <w:t>US-50</w:t>
            </w:r>
          </w:p>
        </w:tc>
        <w:tc>
          <w:tcPr>
            <w:tcW w:type="dxa" w:w="715"/>
          </w:tcPr>
          <w:p>
            <w:r/>
            <w:r>
              <w:rPr>
                <w:rFonts w:ascii="Times New Roman" w:hAnsi="Times New Roman"/>
              </w:rPr>
              <w:t>TCI-104</w:t>
            </w:r>
          </w:p>
        </w:tc>
        <w:tc>
          <w:tcPr>
            <w:tcW w:type="dxa" w:w="961"/>
          </w:tcPr>
          <w:p>
            <w:r/>
            <w:r>
              <w:rPr>
                <w:rFonts w:ascii="Times New Roman" w:hAnsi="Times New Roman"/>
              </w:rPr>
              <w:t>Multi-channel notifications</w:t>
            </w:r>
          </w:p>
        </w:tc>
        <w:tc>
          <w:tcPr>
            <w:tcW w:type="dxa" w:w="1716"/>
          </w:tcPr>
          <w:p>
            <w:r/>
            <w:r>
              <w:rPr>
                <w:rFonts w:ascii="Times New Roman" w:hAnsi="Times New Roman"/>
              </w:rPr>
              <w:t>Trigger a notification while the email channel fails but the in-app channel is available</w:t>
            </w:r>
          </w:p>
        </w:tc>
        <w:tc>
          <w:tcPr>
            <w:tcW w:type="dxa" w:w="2975"/>
          </w:tcPr>
          <w:p>
            <w:r/>
            <w:r>
              <w:rPr>
                <w:rFonts w:ascii="Times New Roman" w:hAnsi="Times New Roman"/>
              </w:rPr>
              <w:t>N/A</w:t>
            </w:r>
          </w:p>
        </w:tc>
        <w:tc>
          <w:tcPr>
            <w:tcW w:type="dxa" w:w="2902"/>
          </w:tcPr>
          <w:p>
            <w:r/>
            <w:r>
              <w:rPr>
                <w:rFonts w:ascii="Times New Roman" w:hAnsi="Times New Roman"/>
              </w:rPr>
              <w:t>The in-app notification is still delivered; the failed email is flagged for retry</w:t>
            </w:r>
          </w:p>
        </w:tc>
        <w:tc>
          <w:tcPr>
            <w:tcW w:type="dxa" w:w="1667"/>
          </w:tcPr>
          <w:p>
            <w:r/>
            <w:r>
              <w:rPr>
                <w:rFonts w:ascii="Times New Roman" w:hAnsi="Times New Roman"/>
              </w:rPr>
            </w:r>
          </w:p>
        </w:tc>
        <w:tc>
          <w:tcPr>
            <w:tcW w:type="dxa" w:w="1318"/>
          </w:tcPr>
          <w:p>
            <w:r/>
            <w:r>
              <w:rPr>
                <w:rFonts w:ascii="Times New Roman" w:hAnsi="Times New Roman"/>
              </w:rPr>
            </w:r>
          </w:p>
        </w:tc>
      </w:tr>
    </w:tbl>
    <w:p w14:paraId="4C24C22D" w14:textId="77777777" w:rsidR="00D05DBC" w:rsidRDefault="00D05DBC"/>
    <w:sectPr w:rsidR="00D05DBC" w:rsidSect="002872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16"/>
    <w:rsid w:val="0018574C"/>
    <w:rsid w:val="00287216"/>
    <w:rsid w:val="00306EDD"/>
    <w:rsid w:val="003C03ED"/>
    <w:rsid w:val="0051552B"/>
    <w:rsid w:val="0072538E"/>
    <w:rsid w:val="00923DEE"/>
    <w:rsid w:val="00A16E99"/>
    <w:rsid w:val="00A50EAD"/>
    <w:rsid w:val="00B517EC"/>
    <w:rsid w:val="00D0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5686"/>
  <w15:chartTrackingRefBased/>
  <w15:docId w15:val="{15AC8F04-6EDB-457E-B94A-BC9F16DD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ED"/>
  </w:style>
  <w:style w:type="paragraph" w:styleId="Heading1">
    <w:name w:val="heading 1"/>
    <w:basedOn w:val="Normal"/>
    <w:next w:val="Normal"/>
    <w:link w:val="Heading1Char"/>
    <w:uiPriority w:val="9"/>
    <w:qFormat/>
    <w:rsid w:val="00287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2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2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21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7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Hr@altrum.tes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r@altrium.tes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Hr@Altrium.test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r@altrium.tes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Hr@Altrium.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F003B-A756-4ED9-9201-0EE102B0F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Dimanthi</dc:creator>
  <cp:keywords/>
  <dc:description/>
  <cp:lastModifiedBy>Dimanthi</cp:lastModifiedBy>
  <cp:revision>1</cp:revision>
  <dcterms:created xsi:type="dcterms:W3CDTF">2026-08-21T05:26:00Z</dcterms:created>
  <dcterms:modified xsi:type="dcterms:W3CDTF">2026-08-21T05:58:00Z</dcterms:modified>
</cp:coreProperties>
</file>