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Altrium HR — Project Risk Register</w:t>
      </w:r>
    </w:p>
    <w:p>
      <w:pPr>
        <w:spacing w:after="200"/>
      </w:pPr>
      <w:r>
        <w:rPr>
          <w:i/>
          <w:iCs/>
          <w:sz w:val="18"/>
          <w:szCs w:val="18"/>
        </w:rPr>
        <w:t xml:space="preserve">All risks identified across Cybersecurity, Technical, Operational, Financial, Legal, and Ethical categories, grounded in the current codebase and project documentation.</w:t>
      </w:r>
    </w:p>
    <w:tbl>
      <w:tblPr>
        <w:tblW w:type="dxa" w:w="13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left w:type="dxa" w:w="40"/>
          <w:bottom w:type="dxa" w:w="40"/>
          <w:right w:type="dxa" w:w="40"/>
        </w:tblCellMar>
      </w:tblPr>
      <w:tblGrid>
        <w:gridCol w:w="800"/>
        <w:gridCol w:w="2750"/>
        <w:gridCol w:w="900"/>
        <w:gridCol w:w="900"/>
        <w:gridCol w:w="2000"/>
        <w:gridCol w:w="2750"/>
        <w:gridCol w:w="850"/>
        <w:gridCol w:w="1250"/>
        <w:gridCol w:w="900"/>
      </w:tblGrid>
      <w:tr>
        <w:trPr>
          <w:tblHeader/>
        </w:trPr>
        <w:tc>
          <w:tcPr>
            <w:tcW w:type="dxa" w:w="800"/>
            <w:shd w:fill="D9D9D9" w:color="auto" w:val="clear"/>
            <w:vAlign w:val="center"/>
          </w:tcPr>
          <w:p>
            <w:r>
              <w:rPr>
                <w:b/>
                <w:bCs/>
                <w:sz w:val="16"/>
                <w:szCs w:val="16"/>
              </w:rPr>
              <w:t xml:space="preserve">Risk ID</w:t>
            </w:r>
          </w:p>
        </w:tc>
        <w:tc>
          <w:tcPr>
            <w:tcW w:type="dxa" w:w="2750"/>
            <w:shd w:fill="D9D9D9" w:color="auto" w:val="clear"/>
            <w:vAlign w:val="center"/>
          </w:tcPr>
          <w:p>
            <w:r>
              <w:rPr>
                <w:b/>
                <w:bCs/>
                <w:sz w:val="16"/>
                <w:szCs w:val="16"/>
              </w:rPr>
              <w:t xml:space="preserve">Risk Description</w:t>
            </w:r>
          </w:p>
        </w:tc>
        <w:tc>
          <w:tcPr>
            <w:tcW w:type="dxa" w:w="900"/>
            <w:shd w:fill="D9D9D9" w:color="auto" w:val="clear"/>
            <w:vAlign w:val="center"/>
          </w:tcPr>
          <w:p>
            <w:r>
              <w:rPr>
                <w:b/>
                <w:bCs/>
                <w:sz w:val="16"/>
                <w:szCs w:val="16"/>
              </w:rPr>
              <w:t xml:space="preserve">Risk Category</w:t>
            </w:r>
          </w:p>
        </w:tc>
        <w:tc>
          <w:tcPr>
            <w:tcW w:type="dxa" w:w="900"/>
            <w:shd w:fill="D9D9D9" w:color="auto" w:val="clear"/>
            <w:vAlign w:val="center"/>
          </w:tcPr>
          <w:p>
            <w:r>
              <w:rPr>
                <w:b/>
                <w:bCs/>
                <w:sz w:val="16"/>
                <w:szCs w:val="16"/>
              </w:rPr>
              <w:t xml:space="preserve">Risk Likelihood</w:t>
            </w:r>
          </w:p>
        </w:tc>
        <w:tc>
          <w:tcPr>
            <w:tcW w:type="dxa" w:w="2000"/>
            <w:shd w:fill="D9D9D9" w:color="auto" w:val="clear"/>
            <w:vAlign w:val="center"/>
          </w:tcPr>
          <w:p>
            <w:r>
              <w:rPr>
                <w:b/>
                <w:bCs/>
                <w:sz w:val="16"/>
                <w:szCs w:val="16"/>
              </w:rPr>
              <w:t xml:space="preserve">Risk Analysis (Impact)</w:t>
            </w:r>
          </w:p>
        </w:tc>
        <w:tc>
          <w:tcPr>
            <w:tcW w:type="dxa" w:w="2750"/>
            <w:shd w:fill="D9D9D9" w:color="auto" w:val="clear"/>
            <w:vAlign w:val="center"/>
          </w:tcPr>
          <w:p>
            <w:r>
              <w:rPr>
                <w:b/>
                <w:bCs/>
                <w:sz w:val="16"/>
                <w:szCs w:val="16"/>
              </w:rPr>
              <w:t xml:space="preserve">Risk Mitigation</w:t>
            </w:r>
          </w:p>
        </w:tc>
        <w:tc>
          <w:tcPr>
            <w:tcW w:type="dxa" w:w="850"/>
            <w:shd w:fill="D9D9D9" w:color="auto" w:val="clear"/>
            <w:vAlign w:val="center"/>
          </w:tcPr>
          <w:p>
            <w:r>
              <w:rPr>
                <w:b/>
                <w:bCs/>
                <w:sz w:val="16"/>
                <w:szCs w:val="16"/>
              </w:rPr>
              <w:t xml:space="preserve">Risk Priority</w:t>
            </w:r>
          </w:p>
        </w:tc>
        <w:tc>
          <w:tcPr>
            <w:tcW w:type="dxa" w:w="1250"/>
            <w:shd w:fill="D9D9D9" w:color="auto" w:val="clear"/>
            <w:vAlign w:val="center"/>
          </w:tcPr>
          <w:p>
            <w:r>
              <w:rPr>
                <w:b/>
                <w:bCs/>
                <w:sz w:val="16"/>
                <w:szCs w:val="16"/>
              </w:rPr>
              <w:t xml:space="preserve">Risk Ownership</w:t>
            </w:r>
          </w:p>
        </w:tc>
        <w:tc>
          <w:tcPr>
            <w:tcW w:type="dxa" w:w="900"/>
            <w:shd w:fill="D9D9D9" w:color="auto" w:val="clear"/>
            <w:vAlign w:val="center"/>
          </w:tcPr>
          <w:p>
            <w:r>
              <w:rPr>
                <w:b/>
                <w:bCs/>
                <w:sz w:val="16"/>
                <w:szCs w:val="16"/>
              </w:rPr>
              <w:t xml:space="preserve">Risk Status</w:t>
            </w:r>
          </w:p>
        </w:tc>
      </w:tr>
      <w:tr>
        <w:tc>
          <w:tcPr>
            <w:tcW w:type="dxa" w:w="800"/>
            <w:vAlign w:val="center"/>
          </w:tcPr>
          <w:p>
            <w:r>
              <w:rPr>
                <w:sz w:val="16"/>
                <w:szCs w:val="16"/>
              </w:rPr>
              <w:t xml:space="preserve">R-01</w:t>
            </w:r>
          </w:p>
        </w:tc>
        <w:tc>
          <w:tcPr>
            <w:tcW w:type="dxa" w:w="2750"/>
            <w:vAlign w:val="center"/>
          </w:tcPr>
          <w:p>
            <w:r>
              <w:rPr>
                <w:sz w:val="16"/>
                <w:szCs w:val="16"/>
              </w:rPr>
              <w:t xml:space="preserve">The system creates backup files of the database, including candidate personal information and staff passwords. These backup files are not encrypted and are stored on the server for 14 days with limited protection.</w:t>
            </w:r>
          </w:p>
        </w:tc>
        <w:tc>
          <w:tcPr>
            <w:tcW w:type="dxa" w:w="900"/>
            <w:vAlign w:val="center"/>
          </w:tcPr>
          <w:p>
            <w:r>
              <w:rPr>
                <w:sz w:val="16"/>
                <w:szCs w:val="16"/>
              </w:rPr>
              <w:t xml:space="preserve">Cybersecurity</w:t>
            </w:r>
          </w:p>
        </w:tc>
        <w:tc>
          <w:tcPr>
            <w:tcW w:type="dxa" w:w="900"/>
            <w:vAlign w:val="center"/>
          </w:tcPr>
          <w:p>
            <w:r>
              <w:rPr>
                <w:sz w:val="16"/>
                <w:szCs w:val="16"/>
              </w:rPr>
              <w:t xml:space="preserve">Medium</w:t>
            </w:r>
          </w:p>
        </w:tc>
        <w:tc>
          <w:tcPr>
            <w:tcW w:type="dxa" w:w="2000"/>
            <w:vAlign w:val="center"/>
          </w:tcPr>
          <w:p>
            <w:r>
              <w:rPr>
                <w:sz w:val="16"/>
                <w:szCs w:val="16"/>
              </w:rPr>
              <w:t xml:space="preserve">High — one leaked backup exposes every candidate's data and every password hash at once.</w:t>
            </w:r>
          </w:p>
        </w:tc>
        <w:tc>
          <w:tcPr>
            <w:tcW w:type="dxa" w:w="2750"/>
            <w:vAlign w:val="center"/>
          </w:tcPr>
          <w:p>
            <w:r>
              <w:rPr>
                <w:sz w:val="16"/>
                <w:szCs w:val="16"/>
              </w:rPr>
              <w:t xml:space="preserve">Encrypt backups at rest; restrict directory permissions; confirm .gitignore excludes the backups folder; move to an access-controlled encrypted bucket long-term.</w:t>
            </w:r>
          </w:p>
        </w:tc>
        <w:tc>
          <w:tcPr>
            <w:tcW w:type="dxa" w:w="850"/>
            <w:vAlign w:val="center"/>
          </w:tcPr>
          <w:p>
            <w:r>
              <w:rPr>
                <w:sz w:val="16"/>
                <w:szCs w:val="16"/>
              </w:rPr>
              <w:t xml:space="preserve">High</w:t>
            </w:r>
          </w:p>
        </w:tc>
        <w:tc>
          <w:tcPr>
            <w:tcW w:type="dxa" w:w="1250"/>
            <w:vAlign w:val="center"/>
          </w:tcPr>
          <w:p>
            <w:r>
              <w:rPr>
                <w:sz w:val="16"/>
                <w:szCs w:val="16"/>
              </w:rPr>
              <w:t xml:space="preserve">Developer</w:t>
            </w:r>
          </w:p>
        </w:tc>
        <w:tc>
          <w:tcPr>
            <w:tcW w:type="dxa" w:w="900"/>
            <w:vAlign w:val="center"/>
          </w:tcPr>
          <w:p>
            <w:r>
              <w:rPr>
                <w:sz w:val="16"/>
                <w:szCs w:val="16"/>
              </w:rPr>
              <w:t xml:space="preserve">Resolved -- backups verified encrypted at rest, directory permissions restricted (see backupJob.ts)</w:t>
            </w:r>
          </w:p>
        </w:tc>
      </w:tr>
      <w:tr>
        <w:tc>
          <w:tcPr>
            <w:tcW w:type="dxa" w:w="800"/>
            <w:vAlign w:val="center"/>
          </w:tcPr>
          <w:p>
            <w:r>
              <w:rPr>
                <w:sz w:val="16"/>
                <w:szCs w:val="16"/>
              </w:rPr>
              <w:t xml:space="preserve">R-07</w:t>
            </w:r>
          </w:p>
        </w:tc>
        <w:tc>
          <w:tcPr>
            <w:tcW w:type="dxa" w:w="2750"/>
            <w:vAlign w:val="center"/>
          </w:tcPr>
          <w:p>
            <w:r>
              <w:rPr>
                <w:sz w:val="16"/>
                <w:szCs w:val="16"/>
              </w:rPr>
              <w:t xml:space="preserve">Important security keys and email login details are stored as plain, unprotected text in the system's configuration files, and there is no process to update or change them regularly.</w:t>
            </w:r>
          </w:p>
        </w:tc>
        <w:tc>
          <w:tcPr>
            <w:tcW w:type="dxa" w:w="900"/>
            <w:vAlign w:val="center"/>
          </w:tcPr>
          <w:p>
            <w:r>
              <w:rPr>
                <w:sz w:val="16"/>
                <w:szCs w:val="16"/>
              </w:rPr>
              <w:t xml:space="preserve">Cybersecurity</w:t>
            </w:r>
          </w:p>
        </w:tc>
        <w:tc>
          <w:tcPr>
            <w:tcW w:type="dxa" w:w="900"/>
            <w:vAlign w:val="center"/>
          </w:tcPr>
          <w:p>
            <w:r>
              <w:rPr>
                <w:sz w:val="16"/>
                <w:szCs w:val="16"/>
              </w:rPr>
              <w:t xml:space="preserve">Medium</w:t>
            </w:r>
          </w:p>
        </w:tc>
        <w:tc>
          <w:tcPr>
            <w:tcW w:type="dxa" w:w="2000"/>
            <w:vAlign w:val="center"/>
          </w:tcPr>
          <w:p>
            <w:r>
              <w:rPr>
                <w:sz w:val="16"/>
                <w:szCs w:val="16"/>
              </w:rPr>
              <w:t xml:space="preserve">High — a leaked secret allows session forgery or email account takeover.</w:t>
            </w:r>
          </w:p>
        </w:tc>
        <w:tc>
          <w:tcPr>
            <w:tcW w:type="dxa" w:w="2750"/>
            <w:vAlign w:val="center"/>
          </w:tcPr>
          <w:p>
            <w:r>
              <w:rPr>
                <w:sz w:val="16"/>
                <w:szCs w:val="16"/>
              </w:rPr>
              <w:t xml:space="preserve">Rotate secrets before any real use; never screen-share the environment-variables panel; use a secrets manager if this goes beyond coursework.</w:t>
            </w:r>
          </w:p>
        </w:tc>
        <w:tc>
          <w:tcPr>
            <w:tcW w:type="dxa" w:w="850"/>
            <w:vAlign w:val="center"/>
          </w:tcPr>
          <w:p>
            <w:r>
              <w:rPr>
                <w:sz w:val="16"/>
                <w:szCs w:val="16"/>
              </w:rPr>
              <w:t xml:space="preserve">High</w:t>
            </w:r>
          </w:p>
        </w:tc>
        <w:tc>
          <w:tcPr>
            <w:tcW w:type="dxa" w:w="1250"/>
            <w:vAlign w:val="center"/>
          </w:tcPr>
          <w:p>
            <w:r>
              <w:rPr>
                <w:sz w:val="16"/>
                <w:szCs w:val="16"/>
              </w:rPr>
              <w:t xml:space="preserve">Developer</w:t>
            </w:r>
          </w:p>
        </w:tc>
        <w:tc>
          <w:tcPr>
            <w:tcW w:type="dxa" w:w="900"/>
            <w:vAlign w:val="center"/>
          </w:tcPr>
          <w:p>
            <w:r>
              <w:rPr>
                <w:sz w:val="16"/>
                <w:szCs w:val="16"/>
              </w:rPr>
              <w:t xml:space="preserve">Resolved -- all 16 live user passwords rotated via rotate-all-passwords.mjs against Aiven (2026-09-23) and JWT_SECRET rotated on Render (redeployed, invalidating prior sessions). Note: the environment-variables panel was screen-shared once during this process, contrary to the mitigation above -- flagged and corrected rather than hidden; no further reveals were made.</w:t>
            </w:r>
          </w:p>
        </w:tc>
      </w:tr>
      <w:tr>
        <w:tc>
          <w:tcPr>
            <w:tcW w:type="dxa" w:w="800"/>
            <w:vAlign w:val="center"/>
          </w:tcPr>
          <w:p>
            <w:r>
              <w:rPr>
                <w:sz w:val="16"/>
                <w:szCs w:val="16"/>
              </w:rPr>
              <w:t xml:space="preserve">R-08</w:t>
            </w:r>
          </w:p>
        </w:tc>
        <w:tc>
          <w:tcPr>
            <w:tcW w:type="dxa" w:w="2750"/>
            <w:vAlign w:val="center"/>
          </w:tcPr>
          <w:p>
            <w:r>
              <w:rPr>
                <w:sz w:val="16"/>
                <w:szCs w:val="16"/>
              </w:rPr>
              <w:t xml:space="preserve">It is not yet confirmed whether the login and password reset pages limit how many times someone can try to log in. Without this limit, an attacker could repeatedly guess passwords or reset codes.</w:t>
            </w:r>
          </w:p>
        </w:tc>
        <w:tc>
          <w:tcPr>
            <w:tcW w:type="dxa" w:w="900"/>
            <w:vAlign w:val="center"/>
          </w:tcPr>
          <w:p>
            <w:r>
              <w:rPr>
                <w:sz w:val="16"/>
                <w:szCs w:val="16"/>
              </w:rPr>
              <w:t xml:space="preserve">Cybersecurity</w:t>
            </w:r>
          </w:p>
        </w:tc>
        <w:tc>
          <w:tcPr>
            <w:tcW w:type="dxa" w:w="900"/>
            <w:vAlign w:val="center"/>
          </w:tcPr>
          <w:p>
            <w:r>
              <w:rPr>
                <w:sz w:val="16"/>
                <w:szCs w:val="16"/>
              </w:rPr>
              <w:t xml:space="preserve">Unconfirmed</w:t>
            </w:r>
          </w:p>
        </w:tc>
        <w:tc>
          <w:tcPr>
            <w:tcW w:type="dxa" w:w="2000"/>
            <w:vAlign w:val="center"/>
          </w:tcPr>
          <w:p>
            <w:r>
              <w:rPr>
                <w:sz w:val="16"/>
                <w:szCs w:val="16"/>
              </w:rPr>
              <w:t xml:space="preserve">Medium-High if the gap is real.</w:t>
            </w:r>
          </w:p>
        </w:tc>
        <w:tc>
          <w:tcPr>
            <w:tcW w:type="dxa" w:w="2750"/>
            <w:vAlign w:val="center"/>
          </w:tcPr>
          <w:p>
            <w:r>
              <w:rPr>
                <w:sz w:val="16"/>
                <w:szCs w:val="16"/>
              </w:rPr>
              <w:t xml:space="preserve">Verify whether rate-limiting exists; add per-IP/per-account attempt caps if it does not.</w:t>
            </w:r>
          </w:p>
        </w:tc>
        <w:tc>
          <w:tcPr>
            <w:tcW w:type="dxa" w:w="850"/>
            <w:vAlign w:val="center"/>
          </w:tcPr>
          <w:p>
            <w:r>
              <w:rPr>
                <w:sz w:val="16"/>
                <w:szCs w:val="16"/>
              </w:rPr>
              <w:t xml:space="preserve">Medium</w:t>
            </w:r>
          </w:p>
        </w:tc>
        <w:tc>
          <w:tcPr>
            <w:tcW w:type="dxa" w:w="1250"/>
            <w:vAlign w:val="center"/>
          </w:tcPr>
          <w:p>
            <w:r>
              <w:rPr>
                <w:sz w:val="16"/>
                <w:szCs w:val="16"/>
              </w:rPr>
              <w:t xml:space="preserve">Developer</w:t>
            </w:r>
          </w:p>
        </w:tc>
        <w:tc>
          <w:tcPr>
            <w:tcW w:type="dxa" w:w="900"/>
            <w:vAlign w:val="center"/>
          </w:tcPr>
          <w:p>
            <w:r>
              <w:rPr>
                <w:sz w:val="16"/>
                <w:szCs w:val="16"/>
              </w:rPr>
              <w:t xml:space="preserve">Resolved -- rate limiting confirmed live (loginRateLimit 10/15min, passwordResetRateLimit 5/15min)</w:t>
            </w:r>
          </w:p>
        </w:tc>
      </w:tr>
      <w:tr>
        <w:tc>
          <w:tcPr>
            <w:tcW w:type="dxa" w:w="800"/>
            <w:vAlign w:val="center"/>
          </w:tcPr>
          <w:p>
            <w:r>
              <w:rPr>
                <w:sz w:val="16"/>
                <w:szCs w:val="16"/>
              </w:rPr>
              <w:t xml:space="preserve">R-09</w:t>
            </w:r>
          </w:p>
        </w:tc>
        <w:tc>
          <w:tcPr>
            <w:tcW w:type="dxa" w:w="2750"/>
            <w:vAlign w:val="center"/>
          </w:tcPr>
          <w:p>
            <w:r>
              <w:rPr>
                <w:sz w:val="16"/>
                <w:szCs w:val="16"/>
              </w:rPr>
              <w:t xml:space="preserve">The CV upload feature limits how large and how many files can be uploaded, but it is not yet confirmed whether it properly checks the actual file type rather than just the file name. Accepting unchecked files is a known security weakness.</w:t>
            </w:r>
          </w:p>
        </w:tc>
        <w:tc>
          <w:tcPr>
            <w:tcW w:type="dxa" w:w="900"/>
            <w:vAlign w:val="center"/>
          </w:tcPr>
          <w:p>
            <w:r>
              <w:rPr>
                <w:sz w:val="16"/>
                <w:szCs w:val="16"/>
              </w:rPr>
              <w:t xml:space="preserve">Cybersecurity</w:t>
            </w:r>
          </w:p>
        </w:tc>
        <w:tc>
          <w:tcPr>
            <w:tcW w:type="dxa" w:w="900"/>
            <w:vAlign w:val="center"/>
          </w:tcPr>
          <w:p>
            <w:r>
              <w:rPr>
                <w:sz w:val="16"/>
                <w:szCs w:val="16"/>
              </w:rPr>
              <w:t xml:space="preserve">Unconfirmed</w:t>
            </w:r>
          </w:p>
        </w:tc>
        <w:tc>
          <w:tcPr>
            <w:tcW w:type="dxa" w:w="2000"/>
            <w:vAlign w:val="center"/>
          </w:tcPr>
          <w:p>
            <w:r>
              <w:rPr>
                <w:sz w:val="16"/>
                <w:szCs w:val="16"/>
              </w:rPr>
              <w:t xml:space="preserve">Medium.</w:t>
            </w:r>
          </w:p>
        </w:tc>
        <w:tc>
          <w:tcPr>
            <w:tcW w:type="dxa" w:w="2750"/>
            <w:vAlign w:val="center"/>
          </w:tcPr>
          <w:p>
            <w:r>
              <w:rPr>
                <w:sz w:val="16"/>
                <w:szCs w:val="16"/>
              </w:rPr>
              <w:t xml:space="preserve">Verify upload validation; add server-side content-type checking rather than trusting the file extension.</w:t>
            </w:r>
          </w:p>
        </w:tc>
        <w:tc>
          <w:tcPr>
            <w:tcW w:type="dxa" w:w="850"/>
            <w:vAlign w:val="center"/>
          </w:tcPr>
          <w:p>
            <w:r>
              <w:rPr>
                <w:sz w:val="16"/>
                <w:szCs w:val="16"/>
              </w:rPr>
              <w:t xml:space="preserve">Medium</w:t>
            </w:r>
          </w:p>
        </w:tc>
        <w:tc>
          <w:tcPr>
            <w:tcW w:type="dxa" w:w="1250"/>
            <w:vAlign w:val="center"/>
          </w:tcPr>
          <w:p>
            <w:r>
              <w:rPr>
                <w:sz w:val="16"/>
                <w:szCs w:val="16"/>
              </w:rPr>
              <w:t xml:space="preserve">Developer</w:t>
            </w:r>
          </w:p>
        </w:tc>
        <w:tc>
          <w:tcPr>
            <w:tcW w:type="dxa" w:w="900"/>
            <w:vAlign w:val="center"/>
          </w:tcPr>
          <w:p>
            <w:r>
              <w:rPr>
                <w:sz w:val="16"/>
                <w:szCs w:val="16"/>
              </w:rPr>
              <w:t xml:space="preserve">Resolved -- server-side magic-byte PDF check confirmed in candidate.controller.ts, not just file extension</w:t>
            </w:r>
          </w:p>
        </w:tc>
      </w:tr>
      <w:tr>
        <w:tc>
          <w:tcPr>
            <w:tcW w:type="dxa" w:w="800"/>
            <w:vAlign w:val="center"/>
          </w:tcPr>
          <w:p>
            <w:r>
              <w:rPr>
                <w:sz w:val="16"/>
                <w:szCs w:val="16"/>
              </w:rPr>
              <w:t xml:space="preserve">R-02</w:t>
            </w:r>
          </w:p>
        </w:tc>
        <w:tc>
          <w:tcPr>
            <w:tcW w:type="dxa" w:w="2750"/>
            <w:vAlign w:val="center"/>
          </w:tcPr>
          <w:p>
            <w:r>
              <w:rPr>
                <w:sz w:val="16"/>
                <w:szCs w:val="16"/>
              </w:rPr>
              <w:t xml:space="preserve">Candidate CVs are saved directly on the server rather than an external storage service. The free hosting plan chosen for this project does not keep files permanently, so CVs could be lost whenever the server restarts.</w:t>
            </w:r>
          </w:p>
        </w:tc>
        <w:tc>
          <w:tcPr>
            <w:tcW w:type="dxa" w:w="900"/>
            <w:vAlign w:val="center"/>
          </w:tcPr>
          <w:p>
            <w:r>
              <w:rPr>
                <w:sz w:val="16"/>
                <w:szCs w:val="16"/>
              </w:rPr>
              <w:t xml:space="preserve">Technical</w:t>
            </w:r>
          </w:p>
        </w:tc>
        <w:tc>
          <w:tcPr>
            <w:tcW w:type="dxa" w:w="900"/>
            <w:vAlign w:val="center"/>
          </w:tcPr>
          <w:p>
            <w:r>
              <w:rPr>
                <w:sz w:val="16"/>
                <w:szCs w:val="16"/>
              </w:rPr>
              <w:t xml:space="preserve">High</w:t>
            </w:r>
          </w:p>
        </w:tc>
        <w:tc>
          <w:tcPr>
            <w:tcW w:type="dxa" w:w="2000"/>
            <w:vAlign w:val="center"/>
          </w:tcPr>
          <w:p>
            <w:r>
              <w:rPr>
                <w:sz w:val="16"/>
                <w:szCs w:val="16"/>
              </w:rPr>
              <w:t xml:space="preserve">High — silent, permanent loss of candidate CVs with no error shown.</w:t>
            </w:r>
          </w:p>
        </w:tc>
        <w:tc>
          <w:tcPr>
            <w:tcW w:type="dxa" w:w="2750"/>
            <w:vAlign w:val="center"/>
          </w:tcPr>
          <w:p>
            <w:r>
              <w:rPr>
                <w:sz w:val="16"/>
                <w:szCs w:val="16"/>
              </w:rPr>
              <w:t xml:space="preserve">Move CV storage to an external object store before any real deployment; disclose the limitation clearly if the deployment is demo-only.</w:t>
            </w:r>
          </w:p>
        </w:tc>
        <w:tc>
          <w:tcPr>
            <w:tcW w:type="dxa" w:w="850"/>
            <w:vAlign w:val="center"/>
          </w:tcPr>
          <w:p>
            <w:r>
              <w:rPr>
                <w:sz w:val="16"/>
                <w:szCs w:val="16"/>
              </w:rPr>
              <w:t xml:space="preserve">High (Critical if real data is used)</w:t>
            </w:r>
          </w:p>
        </w:tc>
        <w:tc>
          <w:tcPr>
            <w:tcW w:type="dxa" w:w="1250"/>
            <w:vAlign w:val="center"/>
          </w:tcPr>
          <w:p>
            <w:r>
              <w:rPr>
                <w:sz w:val="16"/>
                <w:szCs w:val="16"/>
              </w:rPr>
              <w:t xml:space="preserve">Developer</w:t>
            </w:r>
          </w:p>
        </w:tc>
        <w:tc>
          <w:tcPr>
            <w:tcW w:type="dxa" w:w="900"/>
            <w:vAlign w:val="center"/>
          </w:tcPr>
          <w:p>
            <w:r>
              <w:rPr>
                <w:sz w:val="16"/>
                <w:szCs w:val="16"/>
              </w:rPr>
              <w:t xml:space="preserve">Resolved -- confirmed live: B2_BUCKET_NAME, B2_ENDPOINT, B2_KEY_ID, B2_APPLICATION_KEY, B2_REGION all set in Render's Environment tab (screenshot-verified 2026-09-23)</w:t>
            </w:r>
          </w:p>
        </w:tc>
      </w:tr>
      <w:tr>
        <w:tc>
          <w:tcPr>
            <w:tcW w:type="dxa" w:w="800"/>
            <w:vAlign w:val="center"/>
          </w:tcPr>
          <w:p>
            <w:r>
              <w:rPr>
                <w:sz w:val="16"/>
                <w:szCs w:val="16"/>
              </w:rPr>
              <w:t xml:space="preserve">R-10</w:t>
            </w:r>
          </w:p>
        </w:tc>
        <w:tc>
          <w:tcPr>
            <w:tcW w:type="dxa" w:w="2750"/>
            <w:vAlign w:val="center"/>
          </w:tcPr>
          <w:p>
            <w:r>
              <w:rPr>
                <w:sz w:val="16"/>
                <w:szCs w:val="16"/>
              </w:rPr>
              <w:t xml:space="preserve">The system does not allow two vacancies to share the same title and department, even if one has already been closed. This means a similar job cannot easily be reposted later without a manual workaround.</w:t>
            </w:r>
          </w:p>
        </w:tc>
        <w:tc>
          <w:tcPr>
            <w:tcW w:type="dxa" w:w="900"/>
            <w:vAlign w:val="center"/>
          </w:tcPr>
          <w:p>
            <w:r>
              <w:rPr>
                <w:sz w:val="16"/>
                <w:szCs w:val="16"/>
              </w:rPr>
              <w:t xml:space="preserve">Technical</w:t>
            </w:r>
          </w:p>
        </w:tc>
        <w:tc>
          <w:tcPr>
            <w:tcW w:type="dxa" w:w="900"/>
            <w:vAlign w:val="center"/>
          </w:tcPr>
          <w:p>
            <w:r>
              <w:rPr>
                <w:sz w:val="16"/>
                <w:szCs w:val="16"/>
              </w:rPr>
              <w:t xml:space="preserve">Medium — reposting a recurring role is a normal HR pattern.</w:t>
            </w:r>
          </w:p>
        </w:tc>
        <w:tc>
          <w:tcPr>
            <w:tcW w:type="dxa" w:w="2000"/>
            <w:vAlign w:val="center"/>
          </w:tcPr>
          <w:p>
            <w:r>
              <w:rPr>
                <w:sz w:val="16"/>
                <w:szCs w:val="16"/>
              </w:rPr>
              <w:t xml:space="preserve">Medium — blocks a legitimate, expected business action.</w:t>
            </w:r>
          </w:p>
        </w:tc>
        <w:tc>
          <w:tcPr>
            <w:tcW w:type="dxa" w:w="2750"/>
            <w:vAlign w:val="center"/>
          </w:tcPr>
          <w:p>
            <w:r>
              <w:rPr>
                <w:sz w:val="16"/>
                <w:szCs w:val="16"/>
              </w:rPr>
              <w:t xml:space="preserve">Scope the constraint to active (OPEN/ON_HOLD) vacancies only, via a partial index or a soft-delete pattern.</w:t>
            </w:r>
          </w:p>
        </w:tc>
        <w:tc>
          <w:tcPr>
            <w:tcW w:type="dxa" w:w="850"/>
            <w:vAlign w:val="center"/>
          </w:tcPr>
          <w:p>
            <w:r>
              <w:rPr>
                <w:sz w:val="16"/>
                <w:szCs w:val="16"/>
              </w:rPr>
              <w:t xml:space="preserve">Medium</w:t>
            </w:r>
          </w:p>
        </w:tc>
        <w:tc>
          <w:tcPr>
            <w:tcW w:type="dxa" w:w="1250"/>
            <w:vAlign w:val="center"/>
          </w:tcPr>
          <w:p>
            <w:r>
              <w:rPr>
                <w:sz w:val="16"/>
                <w:szCs w:val="16"/>
              </w:rPr>
              <w:t xml:space="preserve">Developer</w:t>
            </w:r>
          </w:p>
        </w:tc>
        <w:tc>
          <w:tcPr>
            <w:tcW w:type="dxa" w:w="900"/>
            <w:vAlign w:val="center"/>
          </w:tcPr>
          <w:p>
            <w:r>
              <w:rPr>
                <w:sz w:val="16"/>
                <w:szCs w:val="16"/>
              </w:rPr>
              <w:t xml:space="preserve">Resolved -- uniqueness constraint scoped to OPEN/ON_HOLD vacancies only, migration applied</w:t>
            </w:r>
          </w:p>
        </w:tc>
      </w:tr>
      <w:tr>
        <w:tc>
          <w:tcPr>
            <w:tcW w:type="dxa" w:w="800"/>
            <w:vAlign w:val="center"/>
          </w:tcPr>
          <w:p>
            <w:r>
              <w:rPr>
                <w:sz w:val="16"/>
                <w:szCs w:val="16"/>
              </w:rPr>
              <w:t xml:space="preserve">R-11</w:t>
            </w:r>
          </w:p>
        </w:tc>
        <w:tc>
          <w:tcPr>
            <w:tcW w:type="dxa" w:w="2750"/>
            <w:vAlign w:val="center"/>
          </w:tcPr>
          <w:p>
            <w:r>
              <w:rPr>
                <w:sz w:val="16"/>
                <w:szCs w:val="16"/>
              </w:rPr>
              <w:t xml:space="preserve">There is no automated system in place to run tests whenever the code is changed. All testing currently depends on team members remembering to run it manually, so new changes could break existing features without anyone noticing.</w:t>
            </w:r>
          </w:p>
        </w:tc>
        <w:tc>
          <w:tcPr>
            <w:tcW w:type="dxa" w:w="900"/>
            <w:vAlign w:val="center"/>
          </w:tcPr>
          <w:p>
            <w:r>
              <w:rPr>
                <w:sz w:val="16"/>
                <w:szCs w:val="16"/>
              </w:rPr>
              <w:t xml:space="preserve">Technical</w:t>
            </w:r>
          </w:p>
        </w:tc>
        <w:tc>
          <w:tcPr>
            <w:tcW w:type="dxa" w:w="900"/>
            <w:vAlign w:val="center"/>
          </w:tcPr>
          <w:p>
            <w:r>
              <w:rPr>
                <w:sz w:val="16"/>
                <w:szCs w:val="16"/>
              </w:rPr>
              <w:t xml:space="preserve">High — manual steps get skipped under deadline pressure.</w:t>
            </w:r>
          </w:p>
        </w:tc>
        <w:tc>
          <w:tcPr>
            <w:tcW w:type="dxa" w:w="2000"/>
            <w:vAlign w:val="center"/>
          </w:tcPr>
          <w:p>
            <w:r>
              <w:rPr>
                <w:sz w:val="16"/>
                <w:szCs w:val="16"/>
              </w:rPr>
              <w:t xml:space="preserve">Medium-High — a regression could ship unnoticed.</w:t>
            </w:r>
          </w:p>
        </w:tc>
        <w:tc>
          <w:tcPr>
            <w:tcW w:type="dxa" w:w="2750"/>
            <w:vAlign w:val="center"/>
          </w:tcPr>
          <w:p>
            <w:r>
              <w:rPr>
                <w:sz w:val="16"/>
                <w:szCs w:val="16"/>
              </w:rPr>
              <w:t xml:space="preserve">Add a CI workflow (e.g. GitHub Actions) that runs the Vitest suite on every push, at minimum.</w:t>
            </w:r>
          </w:p>
        </w:tc>
        <w:tc>
          <w:tcPr>
            <w:tcW w:type="dxa" w:w="850"/>
            <w:vAlign w:val="center"/>
          </w:tcPr>
          <w:p>
            <w:r>
              <w:rPr>
                <w:sz w:val="16"/>
                <w:szCs w:val="16"/>
              </w:rPr>
              <w:t xml:space="preserve">Medium</w:t>
            </w:r>
          </w:p>
        </w:tc>
        <w:tc>
          <w:tcPr>
            <w:tcW w:type="dxa" w:w="1250"/>
            <w:vAlign w:val="center"/>
          </w:tcPr>
          <w:p>
            <w:r>
              <w:rPr>
                <w:sz w:val="16"/>
                <w:szCs w:val="16"/>
              </w:rPr>
              <w:t xml:space="preserve">Developer</w:t>
            </w:r>
          </w:p>
        </w:tc>
        <w:tc>
          <w:tcPr>
            <w:tcW w:type="dxa" w:w="900"/>
            <w:vAlign w:val="center"/>
          </w:tcPr>
          <w:p>
            <w:r>
              <w:rPr>
                <w:sz w:val="16"/>
                <w:szCs w:val="16"/>
              </w:rPr>
              <w:t xml:space="preserve">Resolved -- GitHub Actions CI running Vitest on every push confirmed in .github/workflows/test.yml</w:t>
            </w:r>
          </w:p>
        </w:tc>
      </w:tr>
      <w:tr>
        <w:tc>
          <w:tcPr>
            <w:tcW w:type="dxa" w:w="800"/>
            <w:vAlign w:val="center"/>
          </w:tcPr>
          <w:p>
            <w:r>
              <w:rPr>
                <w:sz w:val="16"/>
                <w:szCs w:val="16"/>
              </w:rPr>
              <w:t xml:space="preserve">R-12</w:t>
            </w:r>
          </w:p>
        </w:tc>
        <w:tc>
          <w:tcPr>
            <w:tcW w:type="dxa" w:w="2750"/>
            <w:vAlign w:val="center"/>
          </w:tcPr>
          <w:p>
            <w:r>
              <w:rPr>
                <w:sz w:val="16"/>
                <w:szCs w:val="16"/>
              </w:rPr>
              <w:t xml:space="preserve">The feature that displays server performance was designed and tested only for Windows computers. Since the project is likely to be hosted on a Linux-based server, this feature may not show accurate information.</w:t>
            </w:r>
          </w:p>
        </w:tc>
        <w:tc>
          <w:tcPr>
            <w:tcW w:type="dxa" w:w="900"/>
            <w:vAlign w:val="center"/>
          </w:tcPr>
          <w:p>
            <w:r>
              <w:rPr>
                <w:sz w:val="16"/>
                <w:szCs w:val="16"/>
              </w:rPr>
              <w:t xml:space="preserve">Technical</w:t>
            </w:r>
          </w:p>
        </w:tc>
        <w:tc>
          <w:tcPr>
            <w:tcW w:type="dxa" w:w="900"/>
            <w:vAlign w:val="center"/>
          </w:tcPr>
          <w:p>
            <w:r>
              <w:rPr>
                <w:sz w:val="16"/>
                <w:szCs w:val="16"/>
              </w:rPr>
              <w:t xml:space="preserve">Medium</w:t>
            </w:r>
          </w:p>
        </w:tc>
        <w:tc>
          <w:tcPr>
            <w:tcW w:type="dxa" w:w="2000"/>
            <w:vAlign w:val="center"/>
          </w:tcPr>
          <w:p>
            <w:r>
              <w:rPr>
                <w:sz w:val="16"/>
                <w:szCs w:val="16"/>
              </w:rPr>
              <w:t xml:space="preserve">Low-Medium — a monitoring/cosmetic feature, not core functionality.</w:t>
            </w:r>
          </w:p>
        </w:tc>
        <w:tc>
          <w:tcPr>
            <w:tcW w:type="dxa" w:w="2750"/>
            <w:vAlign w:val="center"/>
          </w:tcPr>
          <w:p>
            <w:r>
              <w:rPr>
                <w:sz w:val="16"/>
                <w:szCs w:val="16"/>
              </w:rPr>
              <w:t xml:space="preserve">Verify the load calculation cross-platform before relying on it in a live deployed demo.</w:t>
            </w:r>
          </w:p>
        </w:tc>
        <w:tc>
          <w:tcPr>
            <w:tcW w:type="dxa" w:w="850"/>
            <w:vAlign w:val="center"/>
          </w:tcPr>
          <w:p>
            <w:r>
              <w:rPr>
                <w:sz w:val="16"/>
                <w:szCs w:val="16"/>
              </w:rPr>
              <w:t xml:space="preserve">Low</w:t>
            </w:r>
          </w:p>
        </w:tc>
        <w:tc>
          <w:tcPr>
            <w:tcW w:type="dxa" w:w="1250"/>
            <w:vAlign w:val="center"/>
          </w:tcPr>
          <w:p>
            <w:r>
              <w:rPr>
                <w:sz w:val="16"/>
                <w:szCs w:val="16"/>
              </w:rPr>
              <w:t xml:space="preserve">Developer</w:t>
            </w:r>
          </w:p>
        </w:tc>
        <w:tc>
          <w:tcPr>
            <w:tcW w:type="dxa" w:w="900"/>
            <w:vAlign w:val="center"/>
          </w:tcPr>
          <w:p>
            <w:r>
              <w:rPr>
                <w:sz w:val="16"/>
                <w:szCs w:val="16"/>
              </w:rPr>
              <w:t xml:space="preserve">Resolved -- cross-platform server load fix implemented and verified (Windows CPU-time sampling added)</w:t>
            </w:r>
          </w:p>
        </w:tc>
      </w:tr>
      <w:tr>
        <w:tc>
          <w:tcPr>
            <w:tcW w:type="dxa" w:w="800"/>
            <w:vAlign w:val="center"/>
          </w:tcPr>
          <w:p>
            <w:r>
              <w:rPr>
                <w:sz w:val="16"/>
                <w:szCs w:val="16"/>
              </w:rPr>
              <w:t xml:space="preserve">R-05</w:t>
            </w:r>
          </w:p>
        </w:tc>
        <w:tc>
          <w:tcPr>
            <w:tcW w:type="dxa" w:w="2750"/>
            <w:vAlign w:val="center"/>
          </w:tcPr>
          <w:p>
            <w:r>
              <w:rPr>
                <w:sz w:val="16"/>
                <w:szCs w:val="16"/>
              </w:rPr>
              <w:t xml:space="preserve">Automatic backups and reminder emails are scheduled to run at fixed times, but this only works while the server is actively running. Since the free hosting plan shuts the server down after 15 minutes of inactivity, these scheduled tasks may not run as intended.</w:t>
            </w:r>
          </w:p>
        </w:tc>
        <w:tc>
          <w:tcPr>
            <w:tcW w:type="dxa" w:w="900"/>
            <w:vAlign w:val="center"/>
          </w:tcPr>
          <w:p>
            <w:r>
              <w:rPr>
                <w:sz w:val="16"/>
                <w:szCs w:val="16"/>
              </w:rPr>
              <w:t xml:space="preserve">Operational</w:t>
            </w:r>
          </w:p>
        </w:tc>
        <w:tc>
          <w:tcPr>
            <w:tcW w:type="dxa" w:w="900"/>
            <w:vAlign w:val="center"/>
          </w:tcPr>
          <w:p>
            <w:r>
              <w:rPr>
                <w:sz w:val="16"/>
                <w:szCs w:val="16"/>
              </w:rPr>
              <w:t xml:space="preserve">High</w:t>
            </w:r>
          </w:p>
        </w:tc>
        <w:tc>
          <w:tcPr>
            <w:tcW w:type="dxa" w:w="2000"/>
            <w:vAlign w:val="center"/>
          </w:tcPr>
          <w:p>
            <w:r>
              <w:rPr>
                <w:sz w:val="16"/>
                <w:szCs w:val="16"/>
              </w:rPr>
              <w:t xml:space="preserve">High — features built and tested as "automatic" may silently never fire once deployed.</w:t>
            </w:r>
          </w:p>
        </w:tc>
        <w:tc>
          <w:tcPr>
            <w:tcW w:type="dxa" w:w="2750"/>
            <w:vAlign w:val="center"/>
          </w:tcPr>
          <w:p>
            <w:r>
              <w:rPr>
                <w:sz w:val="16"/>
                <w:szCs w:val="16"/>
              </w:rPr>
              <w:t xml:space="preserve">Use an external cron-ping/uptime service to keep the instance awake at those times, or host somewhere with real background-job support.</w:t>
            </w:r>
          </w:p>
        </w:tc>
        <w:tc>
          <w:tcPr>
            <w:tcW w:type="dxa" w:w="850"/>
            <w:vAlign w:val="center"/>
          </w:tcPr>
          <w:p>
            <w:r>
              <w:rPr>
                <w:sz w:val="16"/>
                <w:szCs w:val="16"/>
              </w:rPr>
              <w:t xml:space="preserve">High</w:t>
            </w:r>
          </w:p>
        </w:tc>
        <w:tc>
          <w:tcPr>
            <w:tcW w:type="dxa" w:w="1250"/>
            <w:vAlign w:val="center"/>
          </w:tcPr>
          <w:p>
            <w:r>
              <w:rPr>
                <w:sz w:val="16"/>
                <w:szCs w:val="16"/>
              </w:rPr>
              <w:t xml:space="preserve">Scrum Master</w:t>
            </w:r>
          </w:p>
        </w:tc>
        <w:tc>
          <w:tcPr>
            <w:tcW w:type="dxa" w:w="900"/>
            <w:vAlign w:val="center"/>
          </w:tcPr>
          <w:p>
            <w:r>
              <w:rPr>
                <w:sz w:val="16"/>
                <w:szCs w:val="16"/>
              </w:rPr>
              <w:t xml:space="preserve">Open</w:t>
            </w:r>
          </w:p>
        </w:tc>
      </w:tr>
      <w:tr>
        <w:tc>
          <w:tcPr>
            <w:tcW w:type="dxa" w:w="800"/>
            <w:vAlign w:val="center"/>
          </w:tcPr>
          <w:p>
            <w:r>
              <w:rPr>
                <w:sz w:val="16"/>
                <w:szCs w:val="16"/>
              </w:rPr>
              <w:t xml:space="preserve">R-13</w:t>
            </w:r>
          </w:p>
        </w:tc>
        <w:tc>
          <w:tcPr>
            <w:tcW w:type="dxa" w:w="2750"/>
            <w:vAlign w:val="center"/>
          </w:tcPr>
          <w:p>
            <w:r>
              <w:rPr>
                <w:sz w:val="16"/>
                <w:szCs w:val="16"/>
              </w:rPr>
              <w:t xml:space="preserve">There is only one live version of the system, with no separate test version to safely check changes beforehand. If something breaks shortly before the presentation, there is no quick way to recover.</w:t>
            </w:r>
          </w:p>
        </w:tc>
        <w:tc>
          <w:tcPr>
            <w:tcW w:type="dxa" w:w="900"/>
            <w:vAlign w:val="center"/>
          </w:tcPr>
          <w:p>
            <w:r>
              <w:rPr>
                <w:sz w:val="16"/>
                <w:szCs w:val="16"/>
              </w:rPr>
              <w:t xml:space="preserve">Operational</w:t>
            </w:r>
          </w:p>
        </w:tc>
        <w:tc>
          <w:tcPr>
            <w:tcW w:type="dxa" w:w="900"/>
            <w:vAlign w:val="center"/>
          </w:tcPr>
          <w:p>
            <w:r>
              <w:rPr>
                <w:sz w:val="16"/>
                <w:szCs w:val="16"/>
              </w:rPr>
              <w:t xml:space="preserve">Medium</w:t>
            </w:r>
          </w:p>
        </w:tc>
        <w:tc>
          <w:tcPr>
            <w:tcW w:type="dxa" w:w="2000"/>
            <w:vAlign w:val="center"/>
          </w:tcPr>
          <w:p>
            <w:r>
              <w:rPr>
                <w:sz w:val="16"/>
                <w:szCs w:val="16"/>
              </w:rPr>
              <w:t xml:space="preserve">High — directly timed against a hard deadline (the viva).</w:t>
            </w:r>
          </w:p>
        </w:tc>
        <w:tc>
          <w:tcPr>
            <w:tcW w:type="dxa" w:w="2750"/>
            <w:vAlign w:val="center"/>
          </w:tcPr>
          <w:p>
            <w:r>
              <w:rPr>
                <w:sz w:val="16"/>
                <w:szCs w:val="16"/>
              </w:rPr>
              <w:t xml:space="preserve">Test deploys a few days ahead, not the night before; keep the previous working commit ready to redeploy.</w:t>
            </w:r>
          </w:p>
        </w:tc>
        <w:tc>
          <w:tcPr>
            <w:tcW w:type="dxa" w:w="850"/>
            <w:vAlign w:val="center"/>
          </w:tcPr>
          <w:p>
            <w:r>
              <w:rPr>
                <w:sz w:val="16"/>
                <w:szCs w:val="16"/>
              </w:rPr>
              <w:t xml:space="preserve">Medium</w:t>
            </w:r>
          </w:p>
        </w:tc>
        <w:tc>
          <w:tcPr>
            <w:tcW w:type="dxa" w:w="1250"/>
            <w:vAlign w:val="center"/>
          </w:tcPr>
          <w:p>
            <w:r>
              <w:rPr>
                <w:sz w:val="16"/>
                <w:szCs w:val="16"/>
              </w:rPr>
              <w:t xml:space="preserve">Scrum Master</w:t>
            </w:r>
          </w:p>
        </w:tc>
        <w:tc>
          <w:tcPr>
            <w:tcW w:type="dxa" w:w="900"/>
            <w:vAlign w:val="center"/>
          </w:tcPr>
          <w:p>
            <w:r>
              <w:rPr>
                <w:sz w:val="16"/>
                <w:szCs w:val="16"/>
              </w:rPr>
              <w:t xml:space="preserve">Open</w:t>
            </w:r>
          </w:p>
        </w:tc>
      </w:tr>
      <w:tr>
        <w:tc>
          <w:tcPr>
            <w:tcW w:type="dxa" w:w="800"/>
            <w:vAlign w:val="center"/>
          </w:tcPr>
          <w:p>
            <w:r>
              <w:rPr>
                <w:sz w:val="16"/>
                <w:szCs w:val="16"/>
              </w:rPr>
              <w:t xml:space="preserve">R-14</w:t>
            </w:r>
          </w:p>
        </w:tc>
        <w:tc>
          <w:tcPr>
            <w:tcW w:type="dxa" w:w="2750"/>
            <w:vAlign w:val="center"/>
          </w:tcPr>
          <w:p>
            <w:r>
              <w:rPr>
                <w:sz w:val="16"/>
                <w:szCs w:val="16"/>
              </w:rPr>
              <w:t xml:space="preserve">One team member is responsible for both developing and testing the system, based on the team's own project documents. If this person becomes unavailable, both tasks would be delayed.</w:t>
            </w:r>
          </w:p>
        </w:tc>
        <w:tc>
          <w:tcPr>
            <w:tcW w:type="dxa" w:w="900"/>
            <w:vAlign w:val="center"/>
          </w:tcPr>
          <w:p>
            <w:r>
              <w:rPr>
                <w:sz w:val="16"/>
                <w:szCs w:val="16"/>
              </w:rPr>
              <w:t xml:space="preserve">Operational</w:t>
            </w:r>
          </w:p>
        </w:tc>
        <w:tc>
          <w:tcPr>
            <w:tcW w:type="dxa" w:w="900"/>
            <w:vAlign w:val="center"/>
          </w:tcPr>
          <w:p>
            <w:r>
              <w:rPr>
                <w:sz w:val="16"/>
                <w:szCs w:val="16"/>
              </w:rPr>
              <w:t xml:space="preserve">Medium</w:t>
            </w:r>
          </w:p>
        </w:tc>
        <w:tc>
          <w:tcPr>
            <w:tcW w:type="dxa" w:w="2000"/>
            <w:vAlign w:val="center"/>
          </w:tcPr>
          <w:p>
            <w:r>
              <w:rPr>
                <w:sz w:val="16"/>
                <w:szCs w:val="16"/>
              </w:rPr>
              <w:t xml:space="preserve">Medium-High — both build and test verification stall if that person is unavailable.</w:t>
            </w:r>
          </w:p>
        </w:tc>
        <w:tc>
          <w:tcPr>
            <w:tcW w:type="dxa" w:w="2750"/>
            <w:vAlign w:val="center"/>
          </w:tcPr>
          <w:p>
            <w:r>
              <w:rPr>
                <w:sz w:val="16"/>
                <w:szCs w:val="16"/>
              </w:rPr>
              <w:t xml:space="preserve">Cross-train a second team member on at least test execution before the viva.</w:t>
            </w:r>
          </w:p>
        </w:tc>
        <w:tc>
          <w:tcPr>
            <w:tcW w:type="dxa" w:w="850"/>
            <w:vAlign w:val="center"/>
          </w:tcPr>
          <w:p>
            <w:r>
              <w:rPr>
                <w:sz w:val="16"/>
                <w:szCs w:val="16"/>
              </w:rPr>
              <w:t xml:space="preserve">Medium</w:t>
            </w:r>
          </w:p>
        </w:tc>
        <w:tc>
          <w:tcPr>
            <w:tcW w:type="dxa" w:w="1250"/>
            <w:vAlign w:val="center"/>
          </w:tcPr>
          <w:p>
            <w:r>
              <w:rPr>
                <w:sz w:val="16"/>
                <w:szCs w:val="16"/>
              </w:rPr>
              <w:t xml:space="preserve">Scrum Master</w:t>
            </w:r>
          </w:p>
        </w:tc>
        <w:tc>
          <w:tcPr>
            <w:tcW w:type="dxa" w:w="900"/>
            <w:vAlign w:val="center"/>
          </w:tcPr>
          <w:p>
            <w:r>
              <w:rPr>
                <w:sz w:val="16"/>
                <w:szCs w:val="16"/>
              </w:rPr>
              <w:t xml:space="preserve">Open</w:t>
            </w:r>
          </w:p>
        </w:tc>
      </w:tr>
      <w:tr>
        <w:tc>
          <w:tcPr>
            <w:tcW w:type="dxa" w:w="800"/>
            <w:vAlign w:val="center"/>
          </w:tcPr>
          <w:p>
            <w:r>
              <w:rPr>
                <w:sz w:val="16"/>
                <w:szCs w:val="16"/>
              </w:rPr>
              <w:t xml:space="preserve">R-06</w:t>
            </w:r>
          </w:p>
        </w:tc>
        <w:tc>
          <w:tcPr>
            <w:tcW w:type="dxa" w:w="2750"/>
            <w:vAlign w:val="center"/>
          </w:tcPr>
          <w:p>
            <w:r>
              <w:rPr>
                <w:sz w:val="16"/>
                <w:szCs w:val="16"/>
              </w:rPr>
              <w:t xml:space="preserve">The project depends on three free external services continuing to offer free access until the deadline, with no paid backup plan in place. A similar situation has already happened before, as a comparable service (PlanetScale) previously removed its free option.</w:t>
            </w:r>
          </w:p>
        </w:tc>
        <w:tc>
          <w:tcPr>
            <w:tcW w:type="dxa" w:w="900"/>
            <w:vAlign w:val="center"/>
          </w:tcPr>
          <w:p>
            <w:r>
              <w:rPr>
                <w:sz w:val="16"/>
                <w:szCs w:val="16"/>
              </w:rPr>
              <w:t xml:space="preserve">Financial</w:t>
            </w:r>
          </w:p>
        </w:tc>
        <w:tc>
          <w:tcPr>
            <w:tcW w:type="dxa" w:w="900"/>
            <w:vAlign w:val="center"/>
          </w:tcPr>
          <w:p>
            <w:r>
              <w:rPr>
                <w:sz w:val="16"/>
                <w:szCs w:val="16"/>
              </w:rPr>
              <w:t xml:space="preserve">Low-Medium</w:t>
            </w:r>
          </w:p>
        </w:tc>
        <w:tc>
          <w:tcPr>
            <w:tcW w:type="dxa" w:w="2000"/>
            <w:vAlign w:val="center"/>
          </w:tcPr>
          <w:p>
            <w:r>
              <w:rPr>
                <w:sz w:val="16"/>
                <w:szCs w:val="16"/>
              </w:rPr>
              <w:t xml:space="preserve">High — no working live demo if a provider drops out with no notice.</w:t>
            </w:r>
          </w:p>
        </w:tc>
        <w:tc>
          <w:tcPr>
            <w:tcW w:type="dxa" w:w="2750"/>
            <w:vAlign w:val="center"/>
          </w:tcPr>
          <w:p>
            <w:r>
              <w:rPr>
                <w:sz w:val="16"/>
                <w:szCs w:val="16"/>
              </w:rPr>
              <w:t xml:space="preserve">Keep a tested local/offline fallback for the demo regardless of cloud status.</w:t>
            </w:r>
          </w:p>
        </w:tc>
        <w:tc>
          <w:tcPr>
            <w:tcW w:type="dxa" w:w="850"/>
            <w:vAlign w:val="center"/>
          </w:tcPr>
          <w:p>
            <w:r>
              <w:rPr>
                <w:sz w:val="16"/>
                <w:szCs w:val="16"/>
              </w:rPr>
              <w:t xml:space="preserve">Medium</w:t>
            </w:r>
          </w:p>
        </w:tc>
        <w:tc>
          <w:tcPr>
            <w:tcW w:type="dxa" w:w="1250"/>
            <w:vAlign w:val="center"/>
          </w:tcPr>
          <w:p>
            <w:r>
              <w:rPr>
                <w:sz w:val="16"/>
                <w:szCs w:val="16"/>
              </w:rPr>
              <w:t xml:space="preserve">Scrum Master</w:t>
            </w:r>
          </w:p>
        </w:tc>
        <w:tc>
          <w:tcPr>
            <w:tcW w:type="dxa" w:w="900"/>
            <w:vAlign w:val="center"/>
          </w:tcPr>
          <w:p>
            <w:r>
              <w:rPr>
                <w:sz w:val="16"/>
                <w:szCs w:val="16"/>
              </w:rPr>
              <w:t xml:space="preserve">Open</w:t>
            </w:r>
          </w:p>
        </w:tc>
      </w:tr>
      <w:tr>
        <w:tc>
          <w:tcPr>
            <w:tcW w:type="dxa" w:w="800"/>
            <w:vAlign w:val="center"/>
          </w:tcPr>
          <w:p>
            <w:r>
              <w:rPr>
                <w:sz w:val="16"/>
                <w:szCs w:val="16"/>
              </w:rPr>
              <w:t xml:space="preserve">R-15</w:t>
            </w:r>
          </w:p>
        </w:tc>
        <w:tc>
          <w:tcPr>
            <w:tcW w:type="dxa" w:w="2750"/>
            <w:vAlign w:val="center"/>
          </w:tcPr>
          <w:p>
            <w:r>
              <w:rPr>
                <w:sz w:val="16"/>
                <w:szCs w:val="16"/>
              </w:rPr>
              <w:t xml:space="preserve">The team is not currently tracking how close the project is to reaching the usage limits of its free services, such as storage or processing time. Going over these limits could lead to unexpected charges or the service being suspended.</w:t>
            </w:r>
          </w:p>
        </w:tc>
        <w:tc>
          <w:tcPr>
            <w:tcW w:type="dxa" w:w="900"/>
            <w:vAlign w:val="center"/>
          </w:tcPr>
          <w:p>
            <w:r>
              <w:rPr>
                <w:sz w:val="16"/>
                <w:szCs w:val="16"/>
              </w:rPr>
              <w:t xml:space="preserve">Financial</w:t>
            </w:r>
          </w:p>
        </w:tc>
        <w:tc>
          <w:tcPr>
            <w:tcW w:type="dxa" w:w="900"/>
            <w:vAlign w:val="center"/>
          </w:tcPr>
          <w:p>
            <w:r>
              <w:rPr>
                <w:sz w:val="16"/>
                <w:szCs w:val="16"/>
              </w:rPr>
              <w:t xml:space="preserve">Low</w:t>
            </w:r>
          </w:p>
        </w:tc>
        <w:tc>
          <w:tcPr>
            <w:tcW w:type="dxa" w:w="2000"/>
            <w:vAlign w:val="center"/>
          </w:tcPr>
          <w:p>
            <w:r>
              <w:rPr>
                <w:sz w:val="16"/>
                <w:szCs w:val="16"/>
              </w:rPr>
              <w:t xml:space="preserve">Medium</w:t>
            </w:r>
          </w:p>
        </w:tc>
        <w:tc>
          <w:tcPr>
            <w:tcW w:type="dxa" w:w="2750"/>
            <w:vAlign w:val="center"/>
          </w:tcPr>
          <w:p>
            <w:r>
              <w:rPr>
                <w:sz w:val="16"/>
                <w:szCs w:val="16"/>
              </w:rPr>
              <w:t xml:space="preserve">Check each provider's usage dashboard periodically in the run-up to the viva.</w:t>
            </w:r>
          </w:p>
        </w:tc>
        <w:tc>
          <w:tcPr>
            <w:tcW w:type="dxa" w:w="850"/>
            <w:vAlign w:val="center"/>
          </w:tcPr>
          <w:p>
            <w:r>
              <w:rPr>
                <w:sz w:val="16"/>
                <w:szCs w:val="16"/>
              </w:rPr>
              <w:t xml:space="preserve">Low</w:t>
            </w:r>
          </w:p>
        </w:tc>
        <w:tc>
          <w:tcPr>
            <w:tcW w:type="dxa" w:w="1250"/>
            <w:vAlign w:val="center"/>
          </w:tcPr>
          <w:p>
            <w:r>
              <w:rPr>
                <w:sz w:val="16"/>
                <w:szCs w:val="16"/>
              </w:rPr>
              <w:t xml:space="preserve">Scrum Master</w:t>
            </w:r>
          </w:p>
        </w:tc>
        <w:tc>
          <w:tcPr>
            <w:tcW w:type="dxa" w:w="900"/>
            <w:vAlign w:val="center"/>
          </w:tcPr>
          <w:p>
            <w:r>
              <w:rPr>
                <w:sz w:val="16"/>
                <w:szCs w:val="16"/>
              </w:rPr>
              <w:t xml:space="preserve">Open</w:t>
            </w:r>
          </w:p>
        </w:tc>
      </w:tr>
      <w:tr>
        <w:tc>
          <w:tcPr>
            <w:tcW w:type="dxa" w:w="800"/>
            <w:vAlign w:val="center"/>
          </w:tcPr>
          <w:p>
            <w:r>
              <w:rPr>
                <w:sz w:val="16"/>
                <w:szCs w:val="16"/>
              </w:rPr>
              <w:t xml:space="preserve">R-03</w:t>
            </w:r>
          </w:p>
        </w:tc>
        <w:tc>
          <w:tcPr>
            <w:tcW w:type="dxa" w:w="2750"/>
            <w:vAlign w:val="center"/>
          </w:tcPr>
          <w:p>
            <w:r>
              <w:rPr>
                <w:sz w:val="16"/>
                <w:szCs w:val="16"/>
              </w:rPr>
              <w:t xml:space="preserve">Candidate personal information is kept permanently, even after an application is rejected or a vacancy is closed. There is currently no way to delete this data or a defined time limit for how long it should be stored.</w:t>
            </w:r>
          </w:p>
        </w:tc>
        <w:tc>
          <w:tcPr>
            <w:tcW w:type="dxa" w:w="900"/>
            <w:vAlign w:val="center"/>
          </w:tcPr>
          <w:p>
            <w:r>
              <w:rPr>
                <w:sz w:val="16"/>
                <w:szCs w:val="16"/>
              </w:rPr>
              <w:t xml:space="preserve">Legal</w:t>
            </w:r>
          </w:p>
        </w:tc>
        <w:tc>
          <w:tcPr>
            <w:tcW w:type="dxa" w:w="900"/>
            <w:vAlign w:val="center"/>
          </w:tcPr>
          <w:p>
            <w:r>
              <w:rPr>
                <w:sz w:val="16"/>
                <w:szCs w:val="16"/>
              </w:rPr>
              <w:t xml:space="preserve">High — this is the current permanent default.</w:t>
            </w:r>
          </w:p>
        </w:tc>
        <w:tc>
          <w:tcPr>
            <w:tcW w:type="dxa" w:w="2000"/>
            <w:vAlign w:val="center"/>
          </w:tcPr>
          <w:p>
            <w:r>
              <w:rPr>
                <w:sz w:val="16"/>
                <w:szCs w:val="16"/>
              </w:rPr>
              <w:t xml:space="preserve">Medium-High if handling real applicants.</w:t>
            </w:r>
          </w:p>
        </w:tc>
        <w:tc>
          <w:tcPr>
            <w:tcW w:type="dxa" w:w="2750"/>
            <w:vAlign w:val="center"/>
          </w:tcPr>
          <w:p>
            <w:r>
              <w:rPr>
                <w:sz w:val="16"/>
                <w:szCs w:val="16"/>
              </w:rPr>
              <w:t xml:space="preserve">Define a retention/purge policy; add an HR-triggered erase action.</w:t>
            </w:r>
          </w:p>
        </w:tc>
        <w:tc>
          <w:tcPr>
            <w:tcW w:type="dxa" w:w="850"/>
            <w:vAlign w:val="center"/>
          </w:tcPr>
          <w:p>
            <w:r>
              <w:rPr>
                <w:sz w:val="16"/>
                <w:szCs w:val="16"/>
              </w:rPr>
              <w:t xml:space="preserve">Medium</w:t>
            </w:r>
          </w:p>
        </w:tc>
        <w:tc>
          <w:tcPr>
            <w:tcW w:type="dxa" w:w="1250"/>
            <w:vAlign w:val="center"/>
          </w:tcPr>
          <w:p>
            <w:r>
              <w:rPr>
                <w:sz w:val="16"/>
                <w:szCs w:val="16"/>
              </w:rPr>
              <w:t xml:space="preserve">Business Analyst</w:t>
            </w:r>
          </w:p>
        </w:tc>
        <w:tc>
          <w:tcPr>
            <w:tcW w:type="dxa" w:w="900"/>
            <w:vAlign w:val="center"/>
          </w:tcPr>
          <w:p>
            <w:r>
              <w:rPr>
                <w:sz w:val="16"/>
                <w:szCs w:val="16"/>
              </w:rPr>
              <w:t xml:space="preserve">Open</w:t>
            </w:r>
          </w:p>
        </w:tc>
      </w:tr>
      <w:tr>
        <w:tc>
          <w:tcPr>
            <w:tcW w:type="dxa" w:w="800"/>
            <w:vAlign w:val="center"/>
          </w:tcPr>
          <w:p>
            <w:r>
              <w:rPr>
                <w:sz w:val="16"/>
                <w:szCs w:val="16"/>
              </w:rPr>
              <w:t xml:space="preserve">R-16</w:t>
            </w:r>
          </w:p>
        </w:tc>
        <w:tc>
          <w:tcPr>
            <w:tcW w:type="dxa" w:w="2750"/>
            <w:vAlign w:val="center"/>
          </w:tcPr>
          <w:p>
            <w:r>
              <w:rPr>
                <w:sz w:val="16"/>
                <w:szCs w:val="16"/>
              </w:rPr>
              <w:t xml:space="preserve">When a candidate's CV is uploaded, whether individually or in bulk, they are not asked for permission or informed about how their personal information will be used.</w:t>
            </w:r>
          </w:p>
        </w:tc>
        <w:tc>
          <w:tcPr>
            <w:tcW w:type="dxa" w:w="900"/>
            <w:vAlign w:val="center"/>
          </w:tcPr>
          <w:p>
            <w:r>
              <w:rPr>
                <w:sz w:val="16"/>
                <w:szCs w:val="16"/>
              </w:rPr>
              <w:t xml:space="preserve">Legal</w:t>
            </w:r>
          </w:p>
        </w:tc>
        <w:tc>
          <w:tcPr>
            <w:tcW w:type="dxa" w:w="900"/>
            <w:vAlign w:val="center"/>
          </w:tcPr>
          <w:p>
            <w:r>
              <w:rPr>
                <w:sz w:val="16"/>
                <w:szCs w:val="16"/>
              </w:rPr>
              <w:t xml:space="preserve">High — current default for every upload.</w:t>
            </w:r>
          </w:p>
        </w:tc>
        <w:tc>
          <w:tcPr>
            <w:tcW w:type="dxa" w:w="2000"/>
            <w:vAlign w:val="center"/>
          </w:tcPr>
          <w:p>
            <w:r>
              <w:rPr>
                <w:sz w:val="16"/>
                <w:szCs w:val="16"/>
              </w:rPr>
              <w:t xml:space="preserve">Medium</w:t>
            </w:r>
          </w:p>
        </w:tc>
        <w:tc>
          <w:tcPr>
            <w:tcW w:type="dxa" w:w="2750"/>
            <w:vAlign w:val="center"/>
          </w:tcPr>
          <w:p>
            <w:r>
              <w:rPr>
                <w:sz w:val="16"/>
                <w:szCs w:val="16"/>
              </w:rPr>
              <w:t xml:space="preserve">Add a consent statement to the upload flow or the job application process this data originates from.</w:t>
            </w:r>
          </w:p>
        </w:tc>
        <w:tc>
          <w:tcPr>
            <w:tcW w:type="dxa" w:w="850"/>
            <w:vAlign w:val="center"/>
          </w:tcPr>
          <w:p>
            <w:r>
              <w:rPr>
                <w:sz w:val="16"/>
                <w:szCs w:val="16"/>
              </w:rPr>
              <w:t xml:space="preserve">Medium</w:t>
            </w:r>
          </w:p>
        </w:tc>
        <w:tc>
          <w:tcPr>
            <w:tcW w:type="dxa" w:w="1250"/>
            <w:vAlign w:val="center"/>
          </w:tcPr>
          <w:p>
            <w:r>
              <w:rPr>
                <w:sz w:val="16"/>
                <w:szCs w:val="16"/>
              </w:rPr>
              <w:t xml:space="preserve">Business Analyst</w:t>
            </w:r>
          </w:p>
        </w:tc>
        <w:tc>
          <w:tcPr>
            <w:tcW w:type="dxa" w:w="900"/>
            <w:vAlign w:val="center"/>
          </w:tcPr>
          <w:p>
            <w:r>
              <w:rPr>
                <w:sz w:val="16"/>
                <w:szCs w:val="16"/>
              </w:rPr>
              <w:t xml:space="preserve">Open</w:t>
            </w:r>
          </w:p>
        </w:tc>
      </w:tr>
      <w:tr>
        <w:tc>
          <w:tcPr>
            <w:tcW w:type="dxa" w:w="800"/>
            <w:vAlign w:val="center"/>
          </w:tcPr>
          <w:p>
            <w:r>
              <w:rPr>
                <w:sz w:val="16"/>
                <w:szCs w:val="16"/>
              </w:rPr>
              <w:t xml:space="preserve">R-04</w:t>
            </w:r>
          </w:p>
        </w:tc>
        <w:tc>
          <w:tcPr>
            <w:tcW w:type="dxa" w:w="2750"/>
            <w:vAlign w:val="center"/>
          </w:tcPr>
          <w:p>
            <w:r>
              <w:rPr>
                <w:sz w:val="16"/>
                <w:szCs w:val="16"/>
              </w:rPr>
              <w:t xml:space="preserve">When a newly uploaded CV shares an email address with an existing candidate, the system automatically updates that candidate's stored details without informing them that a change has taken place.</w:t>
            </w:r>
          </w:p>
        </w:tc>
        <w:tc>
          <w:tcPr>
            <w:tcW w:type="dxa" w:w="900"/>
            <w:vAlign w:val="center"/>
          </w:tcPr>
          <w:p>
            <w:r>
              <w:rPr>
                <w:sz w:val="16"/>
                <w:szCs w:val="16"/>
              </w:rPr>
              <w:t xml:space="preserve">Ethical</w:t>
            </w:r>
          </w:p>
        </w:tc>
        <w:tc>
          <w:tcPr>
            <w:tcW w:type="dxa" w:w="900"/>
            <w:vAlign w:val="center"/>
          </w:tcPr>
          <w:p>
            <w:r>
              <w:rPr>
                <w:sz w:val="16"/>
                <w:szCs w:val="16"/>
              </w:rPr>
              <w:t xml:space="preserve">Medium — occurs on every genuine reapplication.</w:t>
            </w:r>
          </w:p>
        </w:tc>
        <w:tc>
          <w:tcPr>
            <w:tcW w:type="dxa" w:w="2000"/>
            <w:vAlign w:val="center"/>
          </w:tcPr>
          <w:p>
            <w:r>
              <w:rPr>
                <w:sz w:val="16"/>
                <w:szCs w:val="16"/>
              </w:rPr>
              <w:t xml:space="preserve">Medium — no transparency or consent for the data subject.</w:t>
            </w:r>
          </w:p>
        </w:tc>
        <w:tc>
          <w:tcPr>
            <w:tcW w:type="dxa" w:w="2750"/>
            <w:vAlign w:val="center"/>
          </w:tcPr>
          <w:p>
            <w:r>
              <w:rPr>
                <w:sz w:val="16"/>
                <w:szCs w:val="16"/>
              </w:rPr>
              <w:t xml:space="preserve">Notify the candidate by email when their profile is reused or updated for a new application.</w:t>
            </w:r>
          </w:p>
        </w:tc>
        <w:tc>
          <w:tcPr>
            <w:tcW w:type="dxa" w:w="850"/>
            <w:vAlign w:val="center"/>
          </w:tcPr>
          <w:p>
            <w:r>
              <w:rPr>
                <w:sz w:val="16"/>
                <w:szCs w:val="16"/>
              </w:rPr>
              <w:t xml:space="preserve">Medium</w:t>
            </w:r>
          </w:p>
        </w:tc>
        <w:tc>
          <w:tcPr>
            <w:tcW w:type="dxa" w:w="1250"/>
            <w:vAlign w:val="center"/>
          </w:tcPr>
          <w:p>
            <w:r>
              <w:rPr>
                <w:sz w:val="16"/>
                <w:szCs w:val="16"/>
              </w:rPr>
              <w:t xml:space="preserve">Business Analyst</w:t>
            </w:r>
          </w:p>
        </w:tc>
        <w:tc>
          <w:tcPr>
            <w:tcW w:type="dxa" w:w="900"/>
            <w:vAlign w:val="center"/>
          </w:tcPr>
          <w:p>
            <w:r>
              <w:rPr>
                <w:sz w:val="16"/>
                <w:szCs w:val="16"/>
              </w:rPr>
              <w:t xml:space="preserve">Open</w:t>
            </w:r>
          </w:p>
        </w:tc>
      </w:tr>
    </w:tbl>
    <w:sectPr>
      <w:pgSz w:w="15840" w:h="12240" w:orient="portrait"/>
      <w:pgMar w:top="500" w:right="500" w:bottom="5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2026-09-18T05:25:59.608Z</dcterms:created>
  <dcterms:modified xsi:type="dcterms:W3CDTF">2026-09-18T05:25:59.609Z</dcterms:modified>
</cp:coreProperties>
</file>

<file path=docProps/custom.xml><?xml version="1.0" encoding="utf-8"?>
<Properties xmlns="http://schemas.openxmlformats.org/officeDocument/2006/custom-properties" xmlns:vt="http://schemas.openxmlformats.org/officeDocument/2006/docPropsVTypes"/>
</file>