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 w:rsidR="52D3CA41" w:rsidP="52D3CA41" w:rsidRDefault="52D3CA41" w14:paraId="050BA739" w14:textId="6EB295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70"/>
        <w:gridCol w:w="1200"/>
        <w:gridCol w:w="1485"/>
        <w:gridCol w:w="1275"/>
        <w:gridCol w:w="1050"/>
        <w:gridCol w:w="2115"/>
        <w:gridCol w:w="1180"/>
      </w:tblGrid>
      <w:tr w:rsidR="52D3CA41" w:rsidTr="52D3CA41" w14:paraId="525C5AF3">
        <w:trPr>
          <w:trHeight w:val="300"/>
        </w:trPr>
        <w:tc>
          <w:tcPr>
            <w:tcW w:w="1170" w:type="dxa"/>
            <w:tcMar/>
          </w:tcPr>
          <w:p w:rsidR="0483C892" w:rsidP="52D3CA41" w:rsidRDefault="0483C892" w14:paraId="4B4FA3E8" w14:textId="7180E9AD">
            <w:pPr>
              <w:pStyle w:val="Normal"/>
              <w:jc w:val="center"/>
            </w:pPr>
            <w:r>
              <w:rPr/>
              <w:t>ID</w:t>
            </w:r>
          </w:p>
        </w:tc>
        <w:tc>
          <w:tcPr>
            <w:tcW w:w="1200" w:type="dxa"/>
            <w:tcMar/>
          </w:tcPr>
          <w:p w:rsidR="0483C892" w:rsidP="52D3CA41" w:rsidRDefault="0483C892" w14:paraId="68CB40C7" w14:textId="0E6DD1B2">
            <w:pPr>
              <w:pStyle w:val="Normal"/>
              <w:jc w:val="center"/>
            </w:pPr>
            <w:r>
              <w:rPr/>
              <w:t>Title</w:t>
            </w:r>
          </w:p>
        </w:tc>
        <w:tc>
          <w:tcPr>
            <w:tcW w:w="1485" w:type="dxa"/>
            <w:tcMar/>
          </w:tcPr>
          <w:p w:rsidR="0483C892" w:rsidP="52D3CA41" w:rsidRDefault="0483C892" w14:paraId="2E164100" w14:textId="33ADA88A">
            <w:pPr>
              <w:pStyle w:val="Normal"/>
              <w:jc w:val="center"/>
            </w:pPr>
            <w:r>
              <w:rPr/>
              <w:t>Description</w:t>
            </w:r>
          </w:p>
        </w:tc>
        <w:tc>
          <w:tcPr>
            <w:tcW w:w="1275" w:type="dxa"/>
            <w:tcMar/>
          </w:tcPr>
          <w:p w:rsidR="0483C892" w:rsidP="52D3CA41" w:rsidRDefault="0483C892" w14:paraId="49450422" w14:textId="7AD41B7A">
            <w:pPr>
              <w:pStyle w:val="Normal"/>
              <w:jc w:val="center"/>
            </w:pPr>
            <w:r>
              <w:rPr/>
              <w:t>Design Approach</w:t>
            </w:r>
          </w:p>
        </w:tc>
        <w:tc>
          <w:tcPr>
            <w:tcW w:w="1050" w:type="dxa"/>
            <w:tcMar/>
          </w:tcPr>
          <w:p w:rsidR="0483C892" w:rsidP="52D3CA41" w:rsidRDefault="0483C892" w14:paraId="1B27B961" w14:textId="173B715E">
            <w:pPr>
              <w:pStyle w:val="Normal"/>
              <w:jc w:val="center"/>
            </w:pPr>
            <w:r>
              <w:rPr/>
              <w:t>Tasks</w:t>
            </w:r>
          </w:p>
        </w:tc>
        <w:tc>
          <w:tcPr>
            <w:tcW w:w="2115" w:type="dxa"/>
            <w:tcMar/>
          </w:tcPr>
          <w:p w:rsidR="0483C892" w:rsidP="52D3CA41" w:rsidRDefault="0483C892" w14:paraId="01AE5651" w14:textId="616217E2">
            <w:pPr>
              <w:pStyle w:val="Normal"/>
              <w:jc w:val="center"/>
            </w:pPr>
            <w:r>
              <w:rPr/>
              <w:t>Responsibilities</w:t>
            </w:r>
          </w:p>
        </w:tc>
        <w:tc>
          <w:tcPr>
            <w:tcW w:w="1180" w:type="dxa"/>
            <w:tcMar/>
          </w:tcPr>
          <w:p w:rsidR="0483C892" w:rsidP="52D3CA41" w:rsidRDefault="0483C892" w14:paraId="36B77859" w14:textId="4C0E4B96">
            <w:pPr>
              <w:pStyle w:val="Normal"/>
              <w:jc w:val="center"/>
            </w:pPr>
            <w:r>
              <w:rPr/>
              <w:t>Status</w:t>
            </w:r>
          </w:p>
        </w:tc>
      </w:tr>
      <w:tr w:rsidR="52D3CA41" w:rsidTr="52D3CA41" w14:paraId="5D52DA77">
        <w:trPr>
          <w:trHeight w:val="300"/>
        </w:trPr>
        <w:tc>
          <w:tcPr>
            <w:tcW w:w="1170" w:type="dxa"/>
            <w:tcMar/>
          </w:tcPr>
          <w:p w:rsidR="07716D2A" w:rsidP="52D3CA41" w:rsidRDefault="07716D2A" w14:paraId="6053CBEC" w14:textId="570751A1">
            <w:pPr>
              <w:spacing w:before="0" w:beforeAutospacing="off" w:after="200" w:afterAutospacing="off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US-33</w:t>
            </w:r>
          </w:p>
        </w:tc>
        <w:tc>
          <w:tcPr>
            <w:tcW w:w="1200" w:type="dxa"/>
            <w:tcMar/>
          </w:tcPr>
          <w:p w:rsidR="59837F38" w:rsidP="52D3CA41" w:rsidRDefault="59837F38" w14:paraId="022C500C" w14:textId="4DD1EFEC">
            <w:pPr>
              <w:pStyle w:val="Normal"/>
            </w:pPr>
            <w:r>
              <w:rPr/>
              <w:t>Automated reminders</w:t>
            </w:r>
          </w:p>
        </w:tc>
        <w:tc>
          <w:tcPr>
            <w:tcW w:w="1485" w:type="dxa"/>
            <w:tcMar/>
          </w:tcPr>
          <w:p w:rsidR="59837F38" w:rsidP="52D3CA41" w:rsidRDefault="59837F38" w14:paraId="2115EC06" w14:textId="59C9B063">
            <w:pPr>
              <w:pStyle w:val="Normal"/>
            </w:pPr>
            <w:r>
              <w:rPr/>
              <w:t>Provide reminders when there are pending reviews and/or overdue feedback</w:t>
            </w:r>
          </w:p>
        </w:tc>
        <w:tc>
          <w:tcPr>
            <w:tcW w:w="1275" w:type="dxa"/>
            <w:tcMar/>
          </w:tcPr>
          <w:p>
            <w:pPr>
              <w:pStyle w:val="Normal"/>
            </w:pPr>
            <w:r>
              <w:rPr/>
              <w:t xml:space="preserve">Reinterpreted as a manual, HR-triggered workflow rather than a background timer, per the locked project scope. A Follow-ups page derives two live sections on every read: Pending CV Review (applications still at the Applied stage) and Pending Feedback (interviews that have taken place but a panelist has not yet submitted feedback for).</w:t>
            </w:r>
          </w:p>
        </w:tc>
        <w:tc>
          <w:tcPr>
            <w:tcW w:w="1050" w:type="dxa"/>
            <w:tcMar/>
          </w:tcPr>
          <w:p>
            <w:pPr>
              <w:pStyle w:val="Normal"/>
              <w:spacing w:after="120"/>
            </w:pPr>
            <w:r>
              <w:rPr/>
              <w:t xml:space="preserve">- Build GET /api/follow-ups endpoint deriving both sections on read</w:t>
            </w:r>
          </w:p>
          <w:p>
            <w:pPr>
              <w:pStyle w:val="Normal"/>
              <w:spacing w:after="120"/>
            </w:pPr>
            <w:r>
              <w:rPr/>
              <w:t xml:space="preserve">- Add a "Send Reminder" action with an editable email template before sending</w:t>
            </w:r>
          </w:p>
          <w:p>
            <w:pPr>
              <w:pStyle w:val="Normal"/>
              <w:spacing w:after="120"/>
            </w:pPr>
            <w:r>
              <w:rPr/>
              <w:t xml:space="preserve">- Build the HR Follow-ups page UI</w:t>
            </w:r>
          </w:p>
        </w:tc>
        <w:tc>
          <w:tcPr>
            <w:tcW w:w="2115" w:type="dxa"/>
            <w:tcMar/>
          </w:tcPr>
          <w:p>
            <w:pPr>
              <w:pStyle w:val="Normal"/>
            </w:pPr>
            <w:r>
              <w:rPr/>
              <w:t xml:space="preserve">Developer (Dulathmi Dunuwille)</w:t>
            </w:r>
          </w:p>
        </w:tc>
        <w:tc>
          <w:tcPr>
            <w:tcW w:w="1180" w:type="dxa"/>
            <w:tcMar/>
          </w:tcPr>
          <w:p>
            <w:pPr>
              <w:pStyle w:val="Normal"/>
            </w:pPr>
            <w:r>
              <w:rPr/>
              <w:t xml:space="preserve">Completed</w:t>
            </w:r>
          </w:p>
        </w:tc>
      </w:tr>
      <w:tr w:rsidR="52D3CA41" w:rsidTr="52D3CA41" w14:paraId="0F7CD7AB">
        <w:trPr>
          <w:trHeight w:val="300"/>
        </w:trPr>
        <w:tc>
          <w:tcPr>
            <w:tcW w:w="1170" w:type="dxa"/>
            <w:tcMar/>
          </w:tcPr>
          <w:p w:rsidR="3977A03D" w:rsidP="52D3CA41" w:rsidRDefault="3977A03D" w14:paraId="71E4871B" w14:textId="22AEF423">
            <w:pPr>
              <w:pStyle w:val="Normal"/>
              <w:spacing w:before="0" w:beforeAutospacing="off" w:after="200" w:afterAutospacing="off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US- 34</w:t>
            </w:r>
          </w:p>
        </w:tc>
        <w:tc>
          <w:tcPr>
            <w:tcW w:w="1200" w:type="dxa"/>
            <w:tcMar/>
          </w:tcPr>
          <w:p>
            <w:pPr>
              <w:pStyle w:val="Normal"/>
            </w:pPr>
            <w:r>
              <w:rPr/>
              <w:t xml:space="preserve">Pending follow-up visibility</w:t>
            </w:r>
          </w:p>
        </w:tc>
        <w:tc>
          <w:tcPr>
            <w:tcW w:w="1485" w:type="dxa"/>
            <w:tcMar/>
          </w:tcPr>
          <w:p>
            <w:pPr>
              <w:pStyle w:val="Normal"/>
            </w:pPr>
            <w:r>
              <w:rPr/>
              <w:t xml:space="preserve">Display pending follow-ups so that no candidate is overlooked.</w:t>
            </w:r>
          </w:p>
        </w:tc>
        <w:tc>
          <w:tcPr>
            <w:tcW w:w="1275" w:type="dxa"/>
            <w:tcMar/>
          </w:tcPr>
          <w:p>
            <w:pPr>
              <w:pStyle w:val="Normal"/>
            </w:pPr>
            <w:r>
              <w:rPr/>
              <w:t xml:space="preserve">Delivered on the same Follow-ups page as US-33 rather than a separate screen. Nothing is stored as "pending" -- both sections are computed live from current application/interview state each time the page loads, so a resolved item (shortlisted, rejected, or feedback submitted) automatically drops off the list on its own.</w:t>
            </w:r>
          </w:p>
        </w:tc>
        <w:tc>
          <w:tcPr>
            <w:tcW w:w="1050" w:type="dxa"/>
            <w:tcMar/>
          </w:tcPr>
          <w:p>
            <w:pPr>
              <w:pStyle w:val="Normal"/>
              <w:spacing w:after="120"/>
            </w:pPr>
            <w:r>
              <w:rPr/>
              <w:t xml:space="preserve">- Extend the Follow-ups query to compute both sections on read</w:t>
            </w:r>
          </w:p>
          <w:p>
            <w:pPr>
              <w:pStyle w:val="Normal"/>
              <w:spacing w:after="120"/>
            </w:pPr>
            <w:r>
              <w:rPr/>
              <w:t xml:space="preserve">- Keep closed-vacancy follow-ups visible with a marker rather than hiding them</w:t>
            </w:r>
          </w:p>
          <w:p>
            <w:pPr>
              <w:pStyle w:val="Normal"/>
              <w:spacing w:after="120"/>
            </w:pPr>
            <w:r>
              <w:rPr/>
              <w:t xml:space="preserve">- Auto-remove resolved items from both lists</w:t>
            </w:r>
          </w:p>
        </w:tc>
        <w:tc>
          <w:tcPr>
            <w:tcW w:w="2115" w:type="dxa"/>
            <w:tcMar/>
          </w:tcPr>
          <w:p>
            <w:pPr>
              <w:pStyle w:val="Normal"/>
            </w:pPr>
            <w:r>
              <w:rPr/>
              <w:t xml:space="preserve">Developer (Dulathmi Dunuwille)</w:t>
            </w:r>
          </w:p>
        </w:tc>
        <w:tc>
          <w:tcPr>
            <w:tcW w:w="1180" w:type="dxa"/>
            <w:tcMar/>
          </w:tcPr>
          <w:p>
            <w:pPr>
              <w:pStyle w:val="Normal"/>
            </w:pPr>
            <w:r>
              <w:rPr/>
              <w:t xml:space="preserve">Completed</w:t>
            </w:r>
          </w:p>
        </w:tc>
      </w:tr>
      <w:tr w:rsidR="52D3CA41" w:rsidTr="52D3CA41" w14:paraId="77ADED75">
        <w:trPr>
          <w:trHeight w:val="300"/>
        </w:trPr>
        <w:tc>
          <w:tcPr>
            <w:tcW w:w="1170" w:type="dxa"/>
            <w:tcMar/>
          </w:tcPr>
          <w:p w:rsidR="581A7E51" w:rsidP="52D3CA41" w:rsidRDefault="581A7E51" w14:paraId="5BE66C7E" w14:textId="76E0A1D4">
            <w:pPr>
              <w:pStyle w:val="Normal"/>
              <w:spacing w:before="0" w:beforeAutospacing="off" w:after="200" w:afterAutospacing="off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US- 35</w:t>
            </w:r>
          </w:p>
        </w:tc>
        <w:tc>
          <w:tcPr>
            <w:tcW w:w="1200" w:type="dxa"/>
            <w:tcMar/>
          </w:tcPr>
          <w:p>
            <w:pPr>
              <w:pStyle w:val="Normal"/>
            </w:pPr>
            <w:r>
              <w:rPr/>
              <w:t xml:space="preserve">Interview reminder emails</w:t>
            </w:r>
          </w:p>
        </w:tc>
        <w:tc>
          <w:tcPr>
            <w:tcW w:w="1485" w:type="dxa"/>
            <w:tcMar/>
          </w:tcPr>
          <w:p>
            <w:pPr>
              <w:pStyle w:val="Normal"/>
            </w:pPr>
            <w:r>
              <w:rPr/>
              <w:t xml:space="preserve">Send interview reminder emails to candidates and interviewers before their scheduled interview time.</w:t>
            </w:r>
          </w:p>
        </w:tc>
        <w:tc>
          <w:tcPr>
            <w:tcW w:w="1275" w:type="dxa"/>
            <w:tcMar/>
          </w:tcPr>
          <w:p>
            <w:pPr>
              <w:pStyle w:val="Normal"/>
            </w:pPr>
            <w:r>
              <w:rPr/>
              <w:t xml:space="preserve">Unlike US-33's manual design, this is a genuine automatic background job -- the only send path in the system that fires with no HR action. A scheduled job checks every 15 minutes for interviews starting within a 24-hour window and sends once per interview slot.</w:t>
            </w:r>
          </w:p>
        </w:tc>
        <w:tc>
          <w:tcPr>
            <w:tcW w:w="1050" w:type="dxa"/>
            <w:tcMar/>
          </w:tcPr>
          <w:p>
            <w:pPr>
              <w:pStyle w:val="Normal"/>
              <w:spacing w:after="120"/>
            </w:pPr>
            <w:r>
              <w:rPr/>
              <w:t xml:space="preserve">- Build a node-cron job (interviewReminders) on a 15-minute check interval</w:t>
            </w:r>
          </w:p>
          <w:p>
            <w:pPr>
              <w:pStyle w:val="Normal"/>
              <w:spacing w:after="120"/>
            </w:pPr>
            <w:r>
              <w:rPr/>
              <w:t xml:space="preserve">- Add candidate- and panelist-facing reminder email templates</w:t>
            </w:r>
          </w:p>
          <w:p>
            <w:pPr>
              <w:pStyle w:val="Normal"/>
              <w:spacing w:after="120"/>
            </w:pPr>
            <w:r>
              <w:rPr/>
              <w:t xml:space="preserve">- Guard against duplicate sends for the same interview slot</w:t>
            </w:r>
          </w:p>
        </w:tc>
        <w:tc>
          <w:tcPr>
            <w:tcW w:w="2115" w:type="dxa"/>
            <w:tcMar/>
          </w:tcPr>
          <w:p>
            <w:pPr>
              <w:pStyle w:val="Normal"/>
            </w:pPr>
            <w:r>
              <w:rPr/>
              <w:t xml:space="preserve">Developer (Dulathmi Dunuwille)</w:t>
            </w:r>
          </w:p>
        </w:tc>
        <w:tc>
          <w:tcPr>
            <w:tcW w:w="1180" w:type="dxa"/>
            <w:tcMar/>
          </w:tcPr>
          <w:p>
            <w:pPr>
              <w:pStyle w:val="Normal"/>
            </w:pPr>
            <w:r>
              <w:rPr/>
              <w:t xml:space="preserve">Completed</w:t>
            </w:r>
          </w:p>
        </w:tc>
      </w:tr>
      <w:tr w:rsidR="52D3CA41" w:rsidTr="52D3CA41" w14:paraId="43805B90">
        <w:trPr>
          <w:trHeight w:val="300"/>
        </w:trPr>
        <w:tc>
          <w:tcPr>
            <w:tcW w:w="1170" w:type="dxa"/>
            <w:tcMar/>
          </w:tcPr>
          <w:p w:rsidR="592369F1" w:rsidP="52D3CA41" w:rsidRDefault="592369F1" w14:paraId="5CE2EF10" w14:textId="57E24BC8">
            <w:pPr>
              <w:pStyle w:val="Normal"/>
              <w:spacing w:before="0" w:beforeAutospacing="off" w:after="200" w:afterAutospacing="off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US- 36</w:t>
            </w:r>
          </w:p>
        </w:tc>
        <w:tc>
          <w:tcPr>
            <w:tcW w:w="1200" w:type="dxa"/>
            <w:tcMar/>
          </w:tcPr>
          <w:p>
            <w:pPr>
              <w:pStyle w:val="Normal"/>
            </w:pPr>
            <w:r>
              <w:rPr/>
              <w:t xml:space="preserve">Multi-channel notifications</w:t>
            </w:r>
          </w:p>
        </w:tc>
        <w:tc>
          <w:tcPr>
            <w:tcW w:w="1485" w:type="dxa"/>
            <w:tcMar/>
          </w:tcPr>
          <w:p>
            <w:pPr>
              <w:pStyle w:val="Normal"/>
            </w:pPr>
            <w:r>
              <w:rPr/>
              <w:t xml:space="preserve">Deliver notifications to interviewers within the application, in addition to email, so important recruitment activity is never missed.</w:t>
            </w:r>
          </w:p>
        </w:tc>
        <w:tc>
          <w:tcPr>
            <w:tcW w:w="1275" w:type="dxa"/>
            <w:tcMar/>
          </w:tcPr>
          <w:p>
            <w:pPr>
              <w:pStyle w:val="Normal"/>
            </w:pPr>
            <w:r>
              <w:rPr/>
              <w:t xml:space="preserve">Added an in-app channel alongside the email channel that already existed. A single notification-dispatch function writes an in-app notification record alongside every relevant staff-facing email, so the two channels cannot drift out of sync.</w:t>
            </w:r>
          </w:p>
        </w:tc>
        <w:tc>
          <w:tcPr>
            <w:tcW w:w="1050" w:type="dxa"/>
            <w:tcMar/>
          </w:tcPr>
          <w:p>
            <w:pPr>
              <w:pStyle w:val="Normal"/>
              <w:spacing w:after="120"/>
            </w:pPr>
            <w:r>
              <w:rPr/>
              <w:t xml:space="preserve">- Add a Notification table and /api/notifications endpoints (list, unread count, mark read, mark all read)</w:t>
            </w:r>
          </w:p>
          <w:p>
            <w:pPr>
              <w:pStyle w:val="Normal"/>
              <w:spacing w:after="120"/>
            </w:pPr>
            <w:r>
              <w:rPr/>
              <w:t xml:space="preserve">- Build a shared notification bell component in every role's sidebar</w:t>
            </w:r>
          </w:p>
          <w:p>
            <w:pPr>
              <w:pStyle w:val="Normal"/>
              <w:spacing w:after="120"/>
            </w:pPr>
            <w:r>
              <w:rPr/>
              <w:t xml:space="preserve">- Wire the in-app notification into every existing staff-facing email send</w:t>
            </w:r>
          </w:p>
        </w:tc>
        <w:tc>
          <w:tcPr>
            <w:tcW w:w="2115" w:type="dxa"/>
            <w:tcMar/>
          </w:tcPr>
          <w:p>
            <w:pPr>
              <w:pStyle w:val="Normal"/>
            </w:pPr>
            <w:r>
              <w:rPr/>
              <w:t xml:space="preserve">Developer (Dulathmi Dunuwille)</w:t>
            </w:r>
          </w:p>
        </w:tc>
        <w:tc>
          <w:tcPr>
            <w:tcW w:w="1180" w:type="dxa"/>
            <w:tcMar/>
          </w:tcPr>
          <w:p>
            <w:pPr>
              <w:pStyle w:val="Normal"/>
            </w:pPr>
            <w:r>
              <w:rPr/>
              <w:t xml:space="preserve">Completed</w:t>
            </w:r>
          </w:p>
        </w:tc>
      </w:tr>
      <w:tr w:rsidR="52D3CA41" w:rsidTr="52D3CA41" w14:paraId="0ED8C9E0">
        <w:trPr>
          <w:trHeight w:val="300"/>
        </w:trPr>
        <w:tc>
          <w:tcPr>
            <w:tcW w:w="1170" w:type="dxa"/>
            <w:tcMar/>
          </w:tcPr>
          <w:p w:rsidR="22180D48" w:rsidP="52D3CA41" w:rsidRDefault="22180D48" w14:paraId="7E0C7E93" w14:textId="49841C3E">
            <w:pPr>
              <w:pStyle w:val="Normal"/>
              <w:spacing w:before="0" w:beforeAutospacing="off" w:after="200" w:afterAutospacing="off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US- 37</w:t>
            </w:r>
          </w:p>
        </w:tc>
        <w:tc>
          <w:tcPr>
            <w:tcW w:w="1200" w:type="dxa"/>
            <w:tcMar/>
          </w:tcPr>
          <w:p>
            <w:pPr>
              <w:pStyle w:val="Normal"/>
            </w:pPr>
            <w:r>
              <w:rPr/>
              <w:t xml:space="preserve">Cross-department performance monitoring</w:t>
            </w:r>
          </w:p>
        </w:tc>
        <w:tc>
          <w:tcPr>
            <w:tcW w:w="1485" w:type="dxa"/>
            <w:tcMar/>
          </w:tcPr>
          <w:p>
            <w:pPr>
              <w:pStyle w:val="Normal"/>
            </w:pPr>
            <w:r>
              <w:rPr/>
              <w:t xml:space="preserve">Allow Leadership to monitor recruitment performance across all departments.</w:t>
            </w:r>
          </w:p>
        </w:tc>
        <w:tc>
          <w:tcPr>
            <w:tcW w:w="1275" w:type="dxa"/>
            <w:tcMar/>
          </w:tcPr>
          <w:p>
            <w:pPr>
              <w:pStyle w:val="Normal"/>
            </w:pPr>
            <w:r>
              <w:rPr/>
              <w:t xml:space="preserve">Built as a dedicated Department Performance tab, reusing the existing organisation-wide reporting data but aggregated per department rather than per vacancy.</w:t>
            </w:r>
          </w:p>
        </w:tc>
        <w:tc>
          <w:tcPr>
            <w:tcW w:w="1050" w:type="dxa"/>
            <w:tcMar/>
          </w:tcPr>
          <w:p>
            <w:pPr>
              <w:pStyle w:val="Normal"/>
              <w:spacing w:after="120"/>
            </w:pPr>
            <w:r>
              <w:rPr/>
              <w:t xml:space="preserve">- Build a department-aggregation endpoint (best fill rate, fastest hiring, most open roles, overdue roles)</w:t>
            </w:r>
          </w:p>
          <w:p>
            <w:pPr>
              <w:pStyle w:val="Normal"/>
              <w:spacing w:after="120"/>
            </w:pPr>
            <w:r>
              <w:rPr/>
              <w:t xml:space="preserve">- Build the Department Performance page with KPI tiles and hired/rejected-by-department charts</w:t>
            </w:r>
          </w:p>
          <w:p>
            <w:pPr>
              <w:pStyle w:val="Normal"/>
              <w:spacing w:after="120"/>
            </w:pPr>
            <w:r>
              <w:rPr/>
              <w:t xml:space="preserve">- Add a full per-department breakdown table</w:t>
            </w:r>
          </w:p>
        </w:tc>
        <w:tc>
          <w:tcPr>
            <w:tcW w:w="2115" w:type="dxa"/>
            <w:tcMar/>
          </w:tcPr>
          <w:p>
            <w:pPr>
              <w:pStyle w:val="Normal"/>
            </w:pPr>
            <w:r>
              <w:rPr/>
              <w:t xml:space="preserve">Developer (Dulathmi Dunuwille)</w:t>
            </w:r>
          </w:p>
        </w:tc>
        <w:tc>
          <w:tcPr>
            <w:tcW w:w="1180" w:type="dxa"/>
            <w:tcMar/>
          </w:tcPr>
          <w:p>
            <w:pPr>
              <w:pStyle w:val="Normal"/>
            </w:pPr>
            <w:r>
              <w:rPr/>
              <w:t xml:space="preserve">Completed</w:t>
            </w:r>
          </w:p>
        </w:tc>
      </w:tr>
      <w:tr w:rsidR="52D3CA41" w:rsidTr="52D3CA41" w14:paraId="135EB64E">
        <w:trPr>
          <w:trHeight w:val="300"/>
        </w:trPr>
        <w:tc>
          <w:tcPr>
            <w:tcW w:w="1170" w:type="dxa"/>
            <w:tcMar/>
          </w:tcPr>
          <w:p w:rsidR="184972DE" w:rsidP="52D3CA41" w:rsidRDefault="184972DE" w14:paraId="179E38A7" w14:textId="227A32DE">
            <w:pPr>
              <w:pStyle w:val="Normal"/>
              <w:spacing w:before="0" w:beforeAutospacing="off" w:after="200" w:afterAutospacing="off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US- 38</w:t>
            </w:r>
          </w:p>
        </w:tc>
        <w:tc>
          <w:tcPr>
            <w:tcW w:w="1200" w:type="dxa"/>
            <w:tcMar/>
          </w:tcPr>
          <w:p>
            <w:pPr>
              <w:pStyle w:val="Normal"/>
            </w:pPr>
            <w:r>
              <w:rPr/>
              <w:t xml:space="preserve">Historical recruitment trends</w:t>
            </w:r>
          </w:p>
        </w:tc>
        <w:tc>
          <w:tcPr>
            <w:tcW w:w="1485" w:type="dxa"/>
            <w:tcMar/>
          </w:tcPr>
          <w:p>
            <w:pPr>
              <w:pStyle w:val="Normal"/>
            </w:pPr>
            <w:r>
              <w:rPr/>
              <w:t xml:space="preserve">Allow Leadership to view historical recruitment trends to support strategic workforce planning.</w:t>
            </w:r>
          </w:p>
        </w:tc>
        <w:tc>
          <w:tcPr>
            <w:tcW w:w="1275" w:type="dxa"/>
            <w:tcMar/>
          </w:tcPr>
          <w:p>
            <w:pPr>
              <w:pStyle w:val="Normal"/>
            </w:pPr>
            <w:r>
              <w:rPr/>
              <w:t xml:space="preserve">Built as a Hiring Trends tab backed by a single rolling eight-month-window endpoint, chosen so the same data could also satisfy US-39's near-identical dashboard requirement without duplicating backend work.</w:t>
            </w:r>
          </w:p>
        </w:tc>
        <w:tc>
          <w:tcPr>
            <w:tcW w:w="1050" w:type="dxa"/>
            <w:tcMar/>
          </w:tcPr>
          <w:p>
            <w:pPr>
              <w:pStyle w:val="Normal"/>
              <w:spacing w:after="120"/>
            </w:pPr>
            <w:r>
              <w:rPr/>
              <w:t xml:space="preserve">- Build a hiring-trends endpoint over a rolling 8-month window</w:t>
            </w:r>
          </w:p>
          <w:p>
            <w:pPr>
              <w:pStyle w:val="Normal"/>
              <w:spacing w:after="120"/>
            </w:pPr>
            <w:r>
              <w:rPr/>
              <w:t xml:space="preserve">- Build the Hiring Trends page with trend charts</w:t>
            </w:r>
          </w:p>
        </w:tc>
        <w:tc>
          <w:tcPr>
            <w:tcW w:w="2115" w:type="dxa"/>
            <w:tcMar/>
          </w:tcPr>
          <w:p>
            <w:pPr>
              <w:pStyle w:val="Normal"/>
            </w:pPr>
            <w:r>
              <w:rPr/>
              <w:t xml:space="preserve">Developer (Dulathmi Dunuwille)</w:t>
            </w:r>
          </w:p>
        </w:tc>
        <w:tc>
          <w:tcPr>
            <w:tcW w:w="1180" w:type="dxa"/>
            <w:tcMar/>
          </w:tcPr>
          <w:p>
            <w:pPr>
              <w:pStyle w:val="Normal"/>
            </w:pPr>
            <w:r>
              <w:rPr/>
              <w:t xml:space="preserve">Completed</w:t>
            </w:r>
          </w:p>
        </w:tc>
      </w:tr>
      <w:tr w:rsidR="52D3CA41" w:rsidTr="52D3CA41" w14:paraId="753EF971">
        <w:trPr>
          <w:trHeight w:val="300"/>
        </w:trPr>
        <w:tc>
          <w:tcPr>
            <w:tcW w:w="1170" w:type="dxa"/>
            <w:tcMar/>
          </w:tcPr>
          <w:p w:rsidR="4F3186E0" w:rsidP="52D3CA41" w:rsidRDefault="4F3186E0" w14:paraId="0C4C715F" w14:textId="5DA6CD30">
            <w:pPr>
              <w:pStyle w:val="Normal"/>
              <w:spacing w:before="0" w:beforeAutospacing="off" w:after="200" w:afterAutospacing="off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US- 39</w:t>
            </w:r>
          </w:p>
        </w:tc>
        <w:tc>
          <w:tcPr>
            <w:tcW w:w="1200" w:type="dxa"/>
            <w:tcMar/>
          </w:tcPr>
          <w:p>
            <w:pPr>
              <w:pStyle w:val="Normal"/>
            </w:pPr>
            <w:r>
              <w:rPr/>
              <w:t xml:space="preserve">Hiring trend dashboard</w:t>
            </w:r>
          </w:p>
        </w:tc>
        <w:tc>
          <w:tcPr>
            <w:tcW w:w="1485" w:type="dxa"/>
            <w:tcMar/>
          </w:tcPr>
          <w:p>
            <w:pPr>
              <w:pStyle w:val="Normal"/>
            </w:pPr>
            <w:r>
              <w:rPr/>
              <w:t xml:space="preserve">Provide dashboards showing hiring trends, time-to-hire, and recruitment efficiency metrics.</w:t>
            </w:r>
          </w:p>
        </w:tc>
        <w:tc>
          <w:tcPr>
            <w:tcW w:w="1275" w:type="dxa"/>
            <w:tcMar/>
          </w:tcPr>
          <w:p>
            <w:pPr>
              <w:pStyle w:val="Normal"/>
            </w:pPr>
            <w:r>
              <w:rPr/>
              <w:t xml:space="preserve">Recognised at design time as the same underlying data as US-38, so both stories are served by the same Hiring Trends tab and endpoint rather than building a second, overlapping dashboard.</w:t>
            </w:r>
          </w:p>
        </w:tc>
        <w:tc>
          <w:tcPr>
            <w:tcW w:w="1050" w:type="dxa"/>
            <w:tcMar/>
          </w:tcPr>
          <w:p>
            <w:pPr>
              <w:pStyle w:val="Normal"/>
              <w:spacing w:after="120"/>
            </w:pPr>
            <w:r>
              <w:rPr/>
              <w:t xml:space="preserve">- Reuse the US-38 hiring-trends endpoint</w:t>
            </w:r>
          </w:p>
          <w:p>
            <w:pPr>
              <w:pStyle w:val="Normal"/>
              <w:spacing w:after="120"/>
            </w:pPr>
            <w:r>
              <w:rPr/>
              <w:t xml:space="preserve">- Surface time-to-hire and recruitment-efficiency metrics on the same tab</w:t>
            </w:r>
          </w:p>
        </w:tc>
        <w:tc>
          <w:tcPr>
            <w:tcW w:w="2115" w:type="dxa"/>
            <w:tcMar/>
          </w:tcPr>
          <w:p>
            <w:pPr>
              <w:pStyle w:val="Normal"/>
            </w:pPr>
            <w:r>
              <w:rPr/>
              <w:t xml:space="preserve">Developer (Dulathmi Dunuwille)</w:t>
            </w:r>
          </w:p>
        </w:tc>
        <w:tc>
          <w:tcPr>
            <w:tcW w:w="1180" w:type="dxa"/>
            <w:tcMar/>
          </w:tcPr>
          <w:p>
            <w:pPr>
              <w:pStyle w:val="Normal"/>
            </w:pPr>
            <w:r>
              <w:rPr/>
              <w:t xml:space="preserve">Completed (shares its implementation with US-38)</w:t>
            </w:r>
          </w:p>
        </w:tc>
      </w:tr>
      <w:tr w:rsidR="52D3CA41" w:rsidTr="52D3CA41" w14:paraId="08EF0F1E">
        <w:trPr>
          <w:trHeight w:val="300"/>
        </w:trPr>
        <w:tc>
          <w:tcPr>
            <w:tcW w:w="1170" w:type="dxa"/>
            <w:tcMar/>
          </w:tcPr>
          <w:p w:rsidR="4E2108E8" w:rsidP="52D3CA41" w:rsidRDefault="4E2108E8" w14:paraId="1D0487A4" w14:textId="6BE16E69">
            <w:pPr>
              <w:pStyle w:val="Normal"/>
              <w:spacing w:before="0" w:beforeAutospacing="off" w:after="200" w:afterAutospacing="off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US- 40</w:t>
            </w:r>
          </w:p>
        </w:tc>
        <w:tc>
          <w:tcPr>
            <w:tcW w:w="1200" w:type="dxa"/>
            <w:tcMar/>
          </w:tcPr>
          <w:p>
            <w:pPr>
              <w:pStyle w:val="Normal"/>
            </w:pPr>
            <w:r>
              <w:rPr/>
              <w:t xml:space="preserve">System-wide audit logging</w:t>
            </w:r>
          </w:p>
        </w:tc>
        <w:tc>
          <w:tcPr>
            <w:tcW w:w="1485" w:type="dxa"/>
            <w:tcMar/>
          </w:tcPr>
          <w:p>
            <w:pPr>
              <w:pStyle w:val="Normal"/>
            </w:pPr>
            <w:r>
              <w:rPr/>
              <w:t xml:space="preserve">Maintain complete audit logs of all system activities for security and compliance.</w:t>
            </w:r>
          </w:p>
        </w:tc>
        <w:tc>
          <w:tcPr>
            <w:tcW w:w="1275" w:type="dxa"/>
            <w:tcMar/>
          </w:tcPr>
          <w:p>
            <w:pPr>
              <w:pStyle w:val="Normal"/>
            </w:pPr>
            <w:r>
              <w:rPr/>
              <w:t xml:space="preserve">Recognised as functionally identical in scope to the Sprint 1 audit-log story. Rather than building a second, overlapping logging system, this story is satisfied by the same audit log table and Audit Logs screen, extended to cover all tracked event types.</w:t>
            </w:r>
          </w:p>
        </w:tc>
        <w:tc>
          <w:tcPr>
            <w:tcW w:w="1050" w:type="dxa"/>
            <w:tcMar/>
          </w:tcPr>
          <w:p>
            <w:pPr>
              <w:pStyle w:val="Normal"/>
              <w:spacing w:after="120"/>
            </w:pPr>
            <w:r>
              <w:rPr/>
              <w:t xml:space="preserve">- Confirm all tracked event types are wired (vacancy, CV, feedback, interview, notification, account, role events)</w:t>
            </w:r>
          </w:p>
          <w:p>
            <w:pPr>
              <w:pStyle w:val="Normal"/>
              <w:spacing w:after="120"/>
            </w:pPr>
            <w:r>
              <w:rPr/>
              <w:t xml:space="preserve">- No separate screen built -- shares the existing filterable Audit Logs page</w:t>
            </w:r>
          </w:p>
        </w:tc>
        <w:tc>
          <w:tcPr>
            <w:tcW w:w="2115" w:type="dxa"/>
            <w:tcMar/>
          </w:tcPr>
          <w:p>
            <w:pPr>
              <w:pStyle w:val="Normal"/>
            </w:pPr>
            <w:r>
              <w:rPr/>
              <w:t xml:space="preserve">Developer (Dulathmi Dunuwille)</w:t>
            </w:r>
          </w:p>
        </w:tc>
        <w:tc>
          <w:tcPr>
            <w:tcW w:w="1180" w:type="dxa"/>
            <w:tcMar/>
          </w:tcPr>
          <w:p>
            <w:pPr>
              <w:pStyle w:val="Normal"/>
            </w:pPr>
            <w:r>
              <w:rPr/>
              <w:t xml:space="preserve">Completed (shares its implementation with the Sprint 1 audit-log story; recommend merging the two backlog items)</w:t>
            </w:r>
          </w:p>
        </w:tc>
      </w:tr>
      <w:tr w:rsidR="52D3CA41" w:rsidTr="52D3CA41" w14:paraId="5D24C733">
        <w:trPr>
          <w:trHeight w:val="300"/>
        </w:trPr>
        <w:tc>
          <w:tcPr>
            <w:tcW w:w="1170" w:type="dxa"/>
            <w:tcMar/>
          </w:tcPr>
          <w:p w:rsidR="755886A9" w:rsidP="52D3CA41" w:rsidRDefault="755886A9" w14:paraId="5F164E62" w14:textId="44859F0C">
            <w:pPr>
              <w:pStyle w:val="Normal"/>
              <w:spacing w:before="0" w:beforeAutospacing="off" w:after="200" w:afterAutospacing="off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US- 41</w:t>
            </w:r>
          </w:p>
        </w:tc>
        <w:tc>
          <w:tcPr>
            <w:tcW w:w="1200" w:type="dxa"/>
            <w:tcMar/>
          </w:tcPr>
          <w:p>
            <w:pPr>
              <w:pStyle w:val="Normal"/>
            </w:pPr>
            <w:r>
              <w:rPr/>
              <w:t xml:space="preserve">System performance monitoring</w:t>
            </w:r>
          </w:p>
        </w:tc>
        <w:tc>
          <w:tcPr>
            <w:tcW w:w="1485" w:type="dxa"/>
            <w:tcMar/>
          </w:tcPr>
          <w:p>
            <w:pPr>
              <w:pStyle w:val="Normal"/>
            </w:pPr>
            <w:r>
              <w:rPr/>
              <w:t xml:space="preserve">Allow IT Admin to monitor system performance so the application's health can be tracked.</w:t>
            </w:r>
          </w:p>
        </w:tc>
        <w:tc>
          <w:tcPr>
            <w:tcW w:w="1275" w:type="dxa"/>
            <w:tcMar/>
          </w:tcPr>
          <w:p>
            <w:pPr>
              <w:pStyle w:val="Normal"/>
            </w:pPr>
            <w:r>
              <w:rPr/>
              <w:t xml:space="preserve">Built as a System Monitoring page showing server load, average response time, and concurrent active users. Response time is tracked from a rolling window of real request durations; server load uses the OS's native load average on Linux (the production platform) and a real CPU-time-sampling calculation on Windows, since Node cannot read a load average on Windows at all.</w:t>
            </w:r>
          </w:p>
        </w:tc>
        <w:tc>
          <w:tcPr>
            <w:tcW w:w="1050" w:type="dxa"/>
            <w:tcMar/>
          </w:tcPr>
          <w:p>
            <w:pPr>
              <w:pStyle w:val="Normal"/>
              <w:spacing w:after="120"/>
            </w:pPr>
            <w:r>
              <w:rPr/>
              <w:t xml:space="preserve">- Add request-timing middleware for average response time</w:t>
            </w:r>
          </w:p>
          <w:p>
            <w:pPr>
              <w:pStyle w:val="Normal"/>
              <w:spacing w:after="120"/>
            </w:pPr>
            <w:r>
              <w:rPr/>
              <w:t xml:space="preserve">- Add a cross-platform server-load calculation (native loadavg on Linux/macOS, CPU-time sampling on Windows)</w:t>
            </w:r>
          </w:p>
          <w:p>
            <w:pPr>
              <w:pStyle w:val="Normal"/>
              <w:spacing w:after="120"/>
            </w:pPr>
            <w:r>
              <w:rPr/>
              <w:t xml:space="preserve">- Build the System Monitoring page with live KPI tiles and an active-users table</w:t>
            </w:r>
          </w:p>
        </w:tc>
        <w:tc>
          <w:tcPr>
            <w:tcW w:w="2115" w:type="dxa"/>
            <w:tcMar/>
          </w:tcPr>
          <w:p>
            <w:pPr>
              <w:pStyle w:val="Normal"/>
            </w:pPr>
            <w:r>
              <w:rPr/>
              <w:t xml:space="preserve">Developer (Dulathmi Dunuwille)</w:t>
            </w:r>
          </w:p>
        </w:tc>
        <w:tc>
          <w:tcPr>
            <w:tcW w:w="1180" w:type="dxa"/>
            <w:tcMar/>
          </w:tcPr>
          <w:p>
            <w:pPr>
              <w:pStyle w:val="Normal"/>
            </w:pPr>
            <w:r>
              <w:rPr/>
              <w:t xml:space="preserve">Completed</w:t>
            </w:r>
          </w:p>
        </w:tc>
      </w:tr>
      <w:tr w:rsidR="52D3CA41" w:rsidTr="52D3CA41" w14:paraId="4313D488">
        <w:trPr>
          <w:trHeight w:val="300"/>
        </w:trPr>
        <w:tc>
          <w:tcPr>
            <w:tcW w:w="1170" w:type="dxa"/>
            <w:tcMar/>
          </w:tcPr>
          <w:p w:rsidR="4BE0EF94" w:rsidP="52D3CA41" w:rsidRDefault="4BE0EF94" w14:paraId="7575043F" w14:textId="5A213BDF">
            <w:pPr>
              <w:pStyle w:val="Normal"/>
              <w:spacing w:before="0" w:beforeAutospacing="off" w:after="200" w:afterAutospacing="off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US- 42</w:t>
            </w:r>
          </w:p>
        </w:tc>
        <w:tc>
          <w:tcPr>
            <w:tcW w:w="1200" w:type="dxa"/>
            <w:tcMar/>
          </w:tcPr>
          <w:p>
            <w:pPr>
              <w:pStyle w:val="Normal"/>
            </w:pPr>
            <w:r>
              <w:rPr/>
              <w:t xml:space="preserve">Automatic system backups</w:t>
            </w:r>
          </w:p>
        </w:tc>
        <w:tc>
          <w:tcPr>
            <w:tcW w:w="1485" w:type="dxa"/>
            <w:tcMar/>
          </w:tcPr>
          <w:p>
            <w:pPr>
              <w:pStyle w:val="Normal"/>
            </w:pPr>
            <w:r>
              <w:rPr/>
              <w:t xml:space="preserve">Provide automatic system backups to prevent data loss.</w:t>
            </w:r>
          </w:p>
        </w:tc>
        <w:tc>
          <w:tcPr>
            <w:tcW w:w="1275" w:type="dxa"/>
            <w:tcMar/>
          </w:tcPr>
          <w:p>
            <w:pPr>
              <w:pStyle w:val="Normal"/>
            </w:pPr>
            <w:r>
              <w:rPr/>
              <w:t xml:space="preserve">A real scheduled job rather than a simulated history: runs a database dump daily, encrypts it when an encryption key is configured, optionally uploads it to Backblaze B2 cloud storage, and prunes backups past a 14-day retention window. A manual "Run Backup Now" action exists alongside the scheduled job so the feature is demonstrable outside its overnight schedule.</w:t>
            </w:r>
          </w:p>
        </w:tc>
        <w:tc>
          <w:tcPr>
            <w:tcW w:w="1050" w:type="dxa"/>
            <w:tcMar/>
          </w:tcPr>
          <w:p>
            <w:pPr>
              <w:pStyle w:val="Normal"/>
              <w:spacing w:after="120"/>
            </w:pPr>
            <w:r>
              <w:rPr/>
              <w:t xml:space="preserve">- Build a scheduled backup job (dump, AES-256 encryption, retention pruning)</w:t>
            </w:r>
          </w:p>
          <w:p>
            <w:pPr>
              <w:pStyle w:val="Normal"/>
              <w:spacing w:after="120"/>
            </w:pPr>
            <w:r>
              <w:rPr/>
              <w:t xml:space="preserve">- Add Backblaze B2 upload as an optional cloud storage target</w:t>
            </w:r>
          </w:p>
          <w:p>
            <w:pPr>
              <w:pStyle w:val="Normal"/>
              <w:spacing w:after="120"/>
            </w:pPr>
            <w:r>
              <w:rPr/>
              <w:t xml:space="preserve">- Add a manual "Run Backup Now" endpoint and UI, both audit-logged</w:t>
            </w:r>
          </w:p>
        </w:tc>
        <w:tc>
          <w:tcPr>
            <w:tcW w:w="2115" w:type="dxa"/>
            <w:tcMar/>
          </w:tcPr>
          <w:p>
            <w:pPr>
              <w:pStyle w:val="Normal"/>
            </w:pPr>
            <w:r>
              <w:rPr/>
              <w:t xml:space="preserve">Developer (Dulathmi Dunuwille)</w:t>
            </w:r>
          </w:p>
        </w:tc>
        <w:tc>
          <w:tcPr>
            <w:tcW w:w="1180" w:type="dxa"/>
            <w:tcMar/>
          </w:tcPr>
          <w:p>
            <w:pPr>
              <w:pStyle w:val="Normal"/>
            </w:pPr>
            <w:r>
              <w:rPr/>
              <w:t xml:space="preserve">Completed</w:t>
            </w:r>
          </w:p>
        </w:tc>
      </w:tr>
      <w:tr w:rsidR="52D3CA41" w:rsidTr="52D3CA41" w14:paraId="4A4039FC">
        <w:trPr>
          <w:trHeight w:val="300"/>
        </w:trPr>
        <w:tc>
          <w:tcPr>
            <w:tcW w:w="1170" w:type="dxa"/>
            <w:tcMar/>
          </w:tcPr>
          <w:p w:rsidR="6FCF9B93" w:rsidP="52D3CA41" w:rsidRDefault="6FCF9B93" w14:paraId="24303863" w14:textId="3FF34EA9">
            <w:pPr>
              <w:pStyle w:val="Normal"/>
              <w:spacing w:before="0" w:beforeAutospacing="off" w:after="200" w:afterAutospacing="off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US- 43</w:t>
            </w:r>
          </w:p>
        </w:tc>
        <w:tc>
          <w:tcPr>
            <w:tcW w:w="1200" w:type="dxa"/>
            <w:tcMar/>
          </w:tcPr>
          <w:p>
            <w:pPr>
              <w:pStyle w:val="Normal"/>
            </w:pPr>
            <w:r>
              <w:rPr/>
              <w:t xml:space="preserve">Configurable notification templates</w:t>
            </w:r>
          </w:p>
        </w:tc>
        <w:tc>
          <w:tcPr>
            <w:tcW w:w="1485" w:type="dxa"/>
            <w:tcMar/>
          </w:tcPr>
          <w:p>
            <w:pPr>
              <w:pStyle w:val="Normal"/>
            </w:pPr>
            <w:r>
              <w:rPr/>
              <w:t xml:space="preserve">Allow IT Admin to configure notification templates used for automated system emails.</w:t>
            </w:r>
          </w:p>
        </w:tc>
        <w:tc>
          <w:tcPr>
            <w:tcW w:w="1275" w:type="dxa"/>
            <w:tcMar/>
          </w:tcPr>
          <w:p>
            <w:pPr>
              <w:pStyle w:val="Normal"/>
            </w:pPr>
            <w:r>
              <w:rPr/>
              <w:t xml:space="preserve">Scoped deliberately to only the fully-automatic sends where nobody reviews the wording at send time (interview scheduled, hiring decision, password reset, interview reminders). The manual Follow-ups sends from US-33 are intentionally left free-text, since HR already edits that wording per send.</w:t>
            </w:r>
          </w:p>
        </w:tc>
        <w:tc>
          <w:tcPr>
            <w:tcW w:w="1050" w:type="dxa"/>
            <w:tcMar/>
          </w:tcPr>
          <w:p>
            <w:pPr>
              <w:pStyle w:val="Normal"/>
              <w:spacing w:after="120"/>
            </w:pPr>
            <w:r>
              <w:rPr/>
              <w:t xml:space="preserve">- Add a notification-template table and IT-Admin-only CRUD endpoints</w:t>
            </w:r>
          </w:p>
          <w:p>
            <w:pPr>
              <w:pStyle w:val="Normal"/>
              <w:spacing w:after="120"/>
            </w:pPr>
            <w:r>
              <w:rPr/>
              <w:t xml:space="preserve">- Build a template editor page for IT Admin</w:t>
            </w:r>
          </w:p>
          <w:p>
            <w:pPr>
              <w:pStyle w:val="Normal"/>
              <w:spacing w:after="120"/>
            </w:pPr>
            <w:r>
              <w:rPr/>
              <w:t xml:space="preserve">- Wire the automatic email sends to render from stored templates</w:t>
            </w:r>
          </w:p>
        </w:tc>
        <w:tc>
          <w:tcPr>
            <w:tcW w:w="2115" w:type="dxa"/>
            <w:tcMar/>
          </w:tcPr>
          <w:p>
            <w:pPr>
              <w:pStyle w:val="Normal"/>
            </w:pPr>
            <w:r>
              <w:rPr/>
              <w:t xml:space="preserve">Developer (Dulathmi Dunuwille)</w:t>
            </w:r>
          </w:p>
        </w:tc>
        <w:tc>
          <w:tcPr>
            <w:tcW w:w="1180" w:type="dxa"/>
            <w:tcMar/>
          </w:tcPr>
          <w:p>
            <w:pPr>
              <w:pStyle w:val="Normal"/>
            </w:pPr>
            <w:r>
              <w:rPr/>
              <w:t xml:space="preserve">Completed</w:t>
            </w:r>
          </w:p>
        </w:tc>
      </w:tr>
    </w:tbl>
    <w:p w:rsidR="52D3CA41" w:rsidRDefault="52D3CA41" w14:paraId="6FDC5DED" w14:textId="684FB9E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1D92F4"/>
    <w:rsid w:val="0483C892"/>
    <w:rsid w:val="071B3848"/>
    <w:rsid w:val="07716D2A"/>
    <w:rsid w:val="090EBF5E"/>
    <w:rsid w:val="090EBF5E"/>
    <w:rsid w:val="16195A6B"/>
    <w:rsid w:val="184972DE"/>
    <w:rsid w:val="209FF04C"/>
    <w:rsid w:val="20A4BA8E"/>
    <w:rsid w:val="211D92F4"/>
    <w:rsid w:val="22180D48"/>
    <w:rsid w:val="3021A769"/>
    <w:rsid w:val="3021A769"/>
    <w:rsid w:val="3977A03D"/>
    <w:rsid w:val="4BE0EF94"/>
    <w:rsid w:val="4E2108E8"/>
    <w:rsid w:val="4E88D280"/>
    <w:rsid w:val="4F3186E0"/>
    <w:rsid w:val="52D3CA41"/>
    <w:rsid w:val="581A7E51"/>
    <w:rsid w:val="592369F1"/>
    <w:rsid w:val="59837F38"/>
    <w:rsid w:val="6FCF9B93"/>
    <w:rsid w:val="755886A9"/>
    <w:rsid w:val="75A12276"/>
    <w:rsid w:val="7646D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C8FF2"/>
  <w15:chartTrackingRefBased/>
  <w15:docId w15:val="{D2B414DC-B272-4A3C-BCFC-C515E2B7C4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2026-09-23T03:11:21.7597124Z</dcterms:created>
  <dcterms:modified xsi:type="dcterms:W3CDTF">2026-09-23T03:17:18.4218202Z</dcterms:modified>
  <dc:creator>Diheli</dc:creator>
  <lastModifiedBy>Diheli</lastModifiedBy>
</coreProperties>
</file>