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r>
        <w:rPr>
          <w:rFonts w:ascii="Arial" w:hAnsi="Arial"/>
          <w:b w:val="0"/>
          <w:i w:val="0"/>
          <w:color w:val="000000"/>
          <w:sz w:val="24"/>
        </w:rPr>
        <w:t>Universidad del Valle de Guatemala</w:t>
      </w:r>
    </w:p>
    <w:p>
      <w:pPr>
        <w:spacing w:line="240" w:lineRule="auto"/>
      </w:pPr>
      <w:r>
        <w:rPr>
          <w:rFonts w:ascii="Arial" w:hAnsi="Arial"/>
          <w:b w:val="0"/>
          <w:i w:val="0"/>
          <w:color w:val="000000"/>
          <w:sz w:val="24"/>
        </w:rPr>
        <w:t>Facultad de Ingeniería</w:t>
      </w:r>
    </w:p>
    <w:p>
      <w:pPr>
        <w:spacing w:line="240" w:lineRule="auto"/>
      </w:pPr>
      <w:r>
        <w:rPr>
          <w:rFonts w:ascii="Arial" w:hAnsi="Arial"/>
          <w:b w:val="0"/>
          <w:i w:val="0"/>
          <w:color w:val="000000"/>
          <w:sz w:val="24"/>
        </w:rPr>
        <w:t>Departamento de Ciencias de la Computación</w:t>
      </w:r>
    </w:p>
    <w:p/>
    <w:p>
      <w:pPr>
        <w:spacing w:line="240" w:lineRule="auto"/>
        <w:jc w:val="center"/>
      </w:pPr>
      <w:r>
        <w:rPr>
          <w:rFonts w:ascii="Arial" w:hAnsi="Arial"/>
          <w:b w:val="0"/>
          <w:i w:val="0"/>
          <w:color w:val="000000"/>
          <w:sz w:val="24"/>
        </w:rPr>
        <w:t>[CC3084] Data Science</w:t>
      </w:r>
    </w:p>
    <w:p>
      <w:pPr>
        <w:spacing w:line="240" w:lineRule="auto"/>
        <w:jc w:val="center"/>
      </w:pPr>
      <w:r>
        <w:rPr>
          <w:rFonts w:ascii="Arial" w:hAnsi="Arial"/>
          <w:b/>
          <w:i w:val="0"/>
          <w:color w:val="000000"/>
          <w:sz w:val="36"/>
        </w:rPr>
        <w:t>Laboratorio 11</w:t>
      </w:r>
    </w:p>
    <w:p>
      <w:pPr>
        <w:spacing w:line="240" w:lineRule="auto"/>
        <w:jc w:val="center"/>
      </w:pPr>
      <w:r>
        <w:rPr>
          <w:rFonts w:ascii="Arial" w:hAnsi="Arial"/>
          <w:b/>
          <w:i w:val="0"/>
          <w:color w:val="000000"/>
          <w:sz w:val="24"/>
        </w:rPr>
        <w:t>Avance: MLOps aplicado al Observatorio de Inteligencia Turística</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3A7C22"/>
          </w:tcPr>
          <w:p>
            <w:pPr>
              <w:jc w:val="center"/>
            </w:pPr>
            <w:r/>
            <w:r>
              <w:rPr>
                <w:rFonts w:ascii="Arial" w:hAnsi="Arial"/>
                <w:b/>
                <w:color w:val="FFFFFF"/>
                <w:sz w:val="20"/>
              </w:rPr>
              <w:t>Nombre</w:t>
            </w:r>
          </w:p>
        </w:tc>
        <w:tc>
          <w:tcPr>
            <w:tcW w:type="dxa" w:w="4680"/>
            <w:shd w:val="clear" w:color="auto" w:fill="3A7C22"/>
          </w:tcPr>
          <w:p>
            <w:pPr>
              <w:jc w:val="center"/>
            </w:pPr>
            <w:r/>
            <w:r>
              <w:rPr>
                <w:rFonts w:ascii="Arial" w:hAnsi="Arial"/>
                <w:b/>
                <w:color w:val="FFFFFF"/>
                <w:sz w:val="20"/>
              </w:rPr>
              <w:t>Carné</w:t>
            </w:r>
          </w:p>
        </w:tc>
      </w:tr>
      <w:tr>
        <w:tc>
          <w:tcPr>
            <w:tcW w:type="dxa" w:w="4680"/>
          </w:tcPr>
          <w:p>
            <w:r/>
            <w:r>
              <w:rPr>
                <w:rFonts w:ascii="Arial" w:hAnsi="Arial"/>
                <w:b w:val="0"/>
                <w:color w:val="000000"/>
                <w:sz w:val="20"/>
              </w:rPr>
              <w:t>Daniel Chet</w:t>
            </w:r>
          </w:p>
        </w:tc>
        <w:tc>
          <w:tcPr>
            <w:tcW w:type="dxa" w:w="4680"/>
          </w:tcPr>
          <w:p>
            <w:r/>
            <w:r>
              <w:rPr>
                <w:rFonts w:ascii="Arial" w:hAnsi="Arial"/>
                <w:b w:val="0"/>
                <w:color w:val="000000"/>
                <w:sz w:val="20"/>
              </w:rPr>
              <w:t>231177</w:t>
            </w:r>
          </w:p>
        </w:tc>
      </w:tr>
      <w:tr>
        <w:tc>
          <w:tcPr>
            <w:tcW w:type="dxa" w:w="4680"/>
          </w:tcPr>
          <w:p>
            <w:r/>
            <w:r>
              <w:rPr>
                <w:rFonts w:ascii="Arial" w:hAnsi="Arial"/>
                <w:b w:val="0"/>
                <w:color w:val="000000"/>
                <w:sz w:val="20"/>
              </w:rPr>
              <w:t>Dulce Ambrosio</w:t>
            </w:r>
          </w:p>
        </w:tc>
        <w:tc>
          <w:tcPr>
            <w:tcW w:type="dxa" w:w="4680"/>
          </w:tcPr>
          <w:p>
            <w:r/>
            <w:r>
              <w:rPr>
                <w:rFonts w:ascii="Arial" w:hAnsi="Arial"/>
                <w:b w:val="0"/>
                <w:color w:val="000000"/>
                <w:sz w:val="20"/>
              </w:rPr>
              <w:t>231143</w:t>
            </w:r>
          </w:p>
        </w:tc>
      </w:tr>
      <w:tr>
        <w:tc>
          <w:tcPr>
            <w:tcW w:type="dxa" w:w="4680"/>
          </w:tcPr>
          <w:p>
            <w:r/>
            <w:r>
              <w:rPr>
                <w:rFonts w:ascii="Arial" w:hAnsi="Arial"/>
                <w:b w:val="0"/>
                <w:color w:val="000000"/>
                <w:sz w:val="20"/>
              </w:rPr>
              <w:t>Cristian Tunchez</w:t>
            </w:r>
          </w:p>
        </w:tc>
        <w:tc>
          <w:tcPr>
            <w:tcW w:type="dxa" w:w="4680"/>
          </w:tcPr>
          <w:p>
            <w:r/>
            <w:r>
              <w:rPr>
                <w:rFonts w:ascii="Arial" w:hAnsi="Arial"/>
                <w:b w:val="0"/>
                <w:color w:val="000000"/>
                <w:sz w:val="20"/>
              </w:rPr>
              <w:t>231359</w:t>
            </w:r>
          </w:p>
        </w:tc>
      </w:tr>
      <w:tr>
        <w:tc>
          <w:tcPr>
            <w:tcW w:type="dxa" w:w="4680"/>
          </w:tcPr>
          <w:p>
            <w:r/>
            <w:r>
              <w:rPr>
                <w:rFonts w:ascii="Arial" w:hAnsi="Arial"/>
                <w:b w:val="0"/>
                <w:color w:val="000000"/>
                <w:sz w:val="20"/>
              </w:rPr>
              <w:t>Javier Linares</w:t>
            </w:r>
          </w:p>
        </w:tc>
        <w:tc>
          <w:tcPr>
            <w:tcW w:type="dxa" w:w="4680"/>
          </w:tcPr>
          <w:p>
            <w:r/>
            <w:r>
              <w:rPr>
                <w:rFonts w:ascii="Arial" w:hAnsi="Arial"/>
                <w:b w:val="0"/>
                <w:color w:val="000000"/>
                <w:sz w:val="20"/>
              </w:rPr>
              <w:t>231135</w:t>
            </w:r>
          </w:p>
        </w:tc>
      </w:tr>
    </w:tbl>
    <w:p/>
    <w:p>
      <w:pPr>
        <w:spacing w:line="276" w:lineRule="auto"/>
      </w:pPr>
      <w:r>
        <w:rPr>
          <w:rFonts w:ascii="Arial" w:hAnsi="Arial"/>
          <w:b/>
          <w:i w:val="0"/>
          <w:color w:val="196B24"/>
          <w:sz w:val="32"/>
        </w:rPr>
        <w:t>1. Alcance del flujo</w:t>
      </w:r>
    </w:p>
    <w:p>
      <w:pPr>
        <w:spacing w:line="240" w:lineRule="auto"/>
      </w:pPr>
      <w:r>
        <w:rPr>
          <w:rFonts w:ascii="Arial" w:hAnsi="Arial"/>
          <w:b w:val="0"/>
          <w:i w:val="0"/>
          <w:color w:val="000000"/>
          <w:sz w:val="24"/>
        </w:rPr>
        <w:t>El equipo tiene asignado el destino Petén / Mundo Maya. El flujo estima el ingreso mensual de viajeros internacionales a ese destino a partir de la Base de Migración 2009–jun 2026 (fuente mensual, hoja «Datos»), reutilizando la limpieza y los modelos de los Laboratorios 1 y 2. No se construyen modelos nuevos.</w:t>
      </w:r>
    </w:p>
    <w:p>
      <w:pPr>
        <w:spacing w:line="276" w:lineRule="auto"/>
      </w:pPr>
      <w:r>
        <w:rPr>
          <w:rFonts w:ascii="Arial" w:hAnsi="Arial"/>
          <w:b/>
          <w:i w:val="0"/>
          <w:color w:val="000000"/>
          <w:sz w:val="24"/>
        </w:rPr>
        <w:t>Variable, unidad y agregación</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3A7C22"/>
          </w:tcPr>
          <w:p>
            <w:pPr>
              <w:jc w:val="center"/>
            </w:pPr>
            <w:r/>
            <w:r>
              <w:rPr>
                <w:rFonts w:ascii="Arial" w:hAnsi="Arial"/>
                <w:b/>
                <w:color w:val="FFFFFF"/>
                <w:sz w:val="20"/>
              </w:rPr>
              <w:t>Elemento</w:t>
            </w:r>
          </w:p>
        </w:tc>
        <w:tc>
          <w:tcPr>
            <w:tcW w:type="dxa" w:w="6912"/>
            <w:shd w:val="clear" w:color="auto" w:fill="3A7C22"/>
          </w:tcPr>
          <w:p>
            <w:pPr>
              <w:jc w:val="center"/>
            </w:pPr>
            <w:r/>
            <w:r>
              <w:rPr>
                <w:rFonts w:ascii="Arial" w:hAnsi="Arial"/>
                <w:b/>
                <w:color w:val="FFFFFF"/>
                <w:sz w:val="20"/>
              </w:rPr>
              <w:t>Definición</w:t>
            </w:r>
          </w:p>
        </w:tc>
      </w:tr>
      <w:tr>
        <w:tc>
          <w:tcPr>
            <w:tcW w:type="dxa" w:w="2448"/>
          </w:tcPr>
          <w:p>
            <w:r/>
            <w:r>
              <w:rPr>
                <w:rFonts w:ascii="Arial" w:hAnsi="Arial"/>
                <w:b w:val="0"/>
                <w:color w:val="000000"/>
                <w:sz w:val="20"/>
              </w:rPr>
              <w:t>Variable</w:t>
            </w:r>
          </w:p>
        </w:tc>
        <w:tc>
          <w:tcPr>
            <w:tcW w:type="dxa" w:w="6912"/>
          </w:tcPr>
          <w:p>
            <w:r/>
            <w:r>
              <w:rPr>
                <w:rFonts w:ascii="Arial" w:hAnsi="Arial"/>
                <w:b w:val="0"/>
                <w:color w:val="000000"/>
                <w:sz w:val="20"/>
              </w:rPr>
              <w:t>viajeros_destino: viajeros internacionales que ingresan al destino en el mes</w:t>
            </w:r>
          </w:p>
        </w:tc>
      </w:tr>
      <w:tr>
        <w:tc>
          <w:tcPr>
            <w:tcW w:type="dxa" w:w="2448"/>
          </w:tcPr>
          <w:p>
            <w:r/>
            <w:r>
              <w:rPr>
                <w:rFonts w:ascii="Arial" w:hAnsi="Arial"/>
                <w:b w:val="0"/>
                <w:color w:val="000000"/>
                <w:sz w:val="20"/>
              </w:rPr>
              <w:t>Unidad</w:t>
            </w:r>
          </w:p>
        </w:tc>
        <w:tc>
          <w:tcPr>
            <w:tcW w:type="dxa" w:w="6912"/>
          </w:tcPr>
          <w:p>
            <w:r/>
            <w:r>
              <w:rPr>
                <w:rFonts w:ascii="Arial" w:hAnsi="Arial"/>
                <w:b w:val="0"/>
                <w:color w:val="000000"/>
                <w:sz w:val="20"/>
              </w:rPr>
              <w:t>viajeros por mes</w:t>
            </w:r>
          </w:p>
        </w:tc>
      </w:tr>
      <w:tr>
        <w:tc>
          <w:tcPr>
            <w:tcW w:type="dxa" w:w="2448"/>
          </w:tcPr>
          <w:p>
            <w:r/>
            <w:r>
              <w:rPr>
                <w:rFonts w:ascii="Arial" w:hAnsi="Arial"/>
                <w:b w:val="0"/>
                <w:color w:val="000000"/>
                <w:sz w:val="20"/>
              </w:rPr>
              <w:t>Agregación</w:t>
            </w:r>
          </w:p>
        </w:tc>
        <w:tc>
          <w:tcPr>
            <w:tcW w:type="dxa" w:w="6912"/>
          </w:tcPr>
          <w:p>
            <w:r/>
            <w:r>
              <w:rPr>
                <w:rFonts w:ascii="Arial" w:hAnsi="Arial"/>
                <w:b w:val="0"/>
                <w:color w:val="000000"/>
                <w:sz w:val="20"/>
              </w:rPr>
              <w:t>mes × destino</w:t>
            </w:r>
          </w:p>
        </w:tc>
      </w:tr>
      <w:tr>
        <w:tc>
          <w:tcPr>
            <w:tcW w:type="dxa" w:w="2448"/>
          </w:tcPr>
          <w:p>
            <w:r/>
            <w:r>
              <w:rPr>
                <w:rFonts w:ascii="Arial" w:hAnsi="Arial"/>
                <w:b w:val="0"/>
                <w:color w:val="000000"/>
                <w:sz w:val="20"/>
              </w:rPr>
              <w:t>Fuentes y columnas</w:t>
            </w:r>
          </w:p>
        </w:tc>
        <w:tc>
          <w:tcPr>
            <w:tcW w:type="dxa" w:w="6912"/>
          </w:tcPr>
          <w:p>
            <w:r/>
            <w:r>
              <w:rPr>
                <w:rFonts w:ascii="Arial" w:hAnsi="Arial"/>
                <w:b w:val="0"/>
                <w:color w:val="000000"/>
                <w:sz w:val="20"/>
              </w:rPr>
              <w:t>Base de Migración (hoja Datos): Año, Mes cod, Vía, Frontera, País, Región dos, Tipo de Viajero, Viajero</w:t>
            </w:r>
          </w:p>
        </w:tc>
      </w:tr>
      <w:tr>
        <w:tc>
          <w:tcPr>
            <w:tcW w:type="dxa" w:w="2448"/>
          </w:tcPr>
          <w:p>
            <w:r/>
            <w:r>
              <w:rPr>
                <w:rFonts w:ascii="Arial" w:hAnsi="Arial"/>
                <w:b w:val="0"/>
                <w:color w:val="000000"/>
                <w:sz w:val="20"/>
              </w:rPr>
              <w:t>Período de ajuste</w:t>
            </w:r>
          </w:p>
        </w:tc>
        <w:tc>
          <w:tcPr>
            <w:tcW w:type="dxa" w:w="6912"/>
          </w:tcPr>
          <w:p>
            <w:r/>
            <w:r>
              <w:rPr>
                <w:rFonts w:ascii="Arial" w:hAnsi="Arial"/>
                <w:b w:val="0"/>
                <w:color w:val="000000"/>
                <w:sz w:val="20"/>
              </w:rPr>
              <w:t>enero 2009 a diciembre 2025 (204 meses)</w:t>
            </w:r>
          </w:p>
        </w:tc>
      </w:tr>
      <w:tr>
        <w:tc>
          <w:tcPr>
            <w:tcW w:type="dxa" w:w="2448"/>
          </w:tcPr>
          <w:p>
            <w:r/>
            <w:r>
              <w:rPr>
                <w:rFonts w:ascii="Arial" w:hAnsi="Arial"/>
                <w:b w:val="0"/>
                <w:color w:val="000000"/>
                <w:sz w:val="20"/>
              </w:rPr>
              <w:t>Período de evaluación</w:t>
            </w:r>
          </w:p>
        </w:tc>
        <w:tc>
          <w:tcPr>
            <w:tcW w:type="dxa" w:w="6912"/>
          </w:tcPr>
          <w:p>
            <w:r/>
            <w:r>
              <w:rPr>
                <w:rFonts w:ascii="Arial" w:hAnsi="Arial"/>
                <w:b w:val="0"/>
                <w:color w:val="000000"/>
                <w:sz w:val="20"/>
              </w:rPr>
              <w:t>enero 2026 a junio 2026 (6 meses, ocultos del ajuste)</w:t>
            </w:r>
          </w:p>
        </w:tc>
      </w:tr>
      <w:tr>
        <w:tc>
          <w:tcPr>
            <w:tcW w:type="dxa" w:w="2448"/>
          </w:tcPr>
          <w:p>
            <w:r/>
            <w:r>
              <w:rPr>
                <w:rFonts w:ascii="Arial" w:hAnsi="Arial"/>
                <w:b w:val="0"/>
                <w:color w:val="000000"/>
                <w:sz w:val="20"/>
              </w:rPr>
              <w:t>Archivo que usa el tablero</w:t>
            </w:r>
          </w:p>
        </w:tc>
        <w:tc>
          <w:tcPr>
            <w:tcW w:type="dxa" w:w="6912"/>
          </w:tcPr>
          <w:p>
            <w:r/>
            <w:r>
              <w:rPr>
                <w:rFonts w:ascii="Arial" w:hAnsi="Arial"/>
                <w:b w:val="0"/>
                <w:color w:val="000000"/>
                <w:sz w:val="20"/>
              </w:rPr>
              <w:t>data/aprobado/version_actual.json → data/aprobado/&lt;run_id&gt;/estimaciones.csv</w:t>
            </w:r>
          </w:p>
        </w:tc>
      </w:tr>
    </w:tbl>
    <w:p>
      <w:pPr>
        <w:spacing w:line="240" w:lineRule="auto"/>
        <w:jc w:val="center"/>
      </w:pPr>
      <w:r>
        <w:rPr>
          <w:rFonts w:ascii="Arial" w:hAnsi="Arial"/>
          <w:b w:val="0"/>
          <w:i/>
          <w:color w:val="000000"/>
          <w:sz w:val="20"/>
        </w:rPr>
        <w:t>Tabla 1. Alcance del flujo.</w:t>
      </w:r>
    </w:p>
    <w:p>
      <w:pPr>
        <w:spacing w:line="276" w:lineRule="auto"/>
      </w:pPr>
      <w:r>
        <w:rPr>
          <w:rFonts w:ascii="Arial" w:hAnsi="Arial"/>
          <w:b/>
          <w:i w:val="0"/>
          <w:color w:val="000000"/>
          <w:sz w:val="24"/>
        </w:rPr>
        <w:t>Procedimiento de estimación y factor de reparto</w:t>
      </w:r>
    </w:p>
    <w:p>
      <w:pPr>
        <w:spacing w:line="240" w:lineRule="auto"/>
      </w:pPr>
      <w:r>
        <w:rPr>
          <w:rFonts w:ascii="Arial" w:hAnsi="Arial"/>
          <w:b w:val="0"/>
          <w:i w:val="0"/>
          <w:color w:val="000000"/>
          <w:sz w:val="24"/>
        </w:rPr>
        <w:t>Petén no tiene un único puesto fronterizo que capture todas sus llegadas: una parte entra directamente por los puestos del destino y otra llega por vía aérea a La Aurora y continúa por conexión doméstica, un tramo que la Base de Migración no registra por separado. El procedimiento estima la variable como:</w:t>
      </w:r>
    </w:p>
    <w:p>
      <w:pPr>
        <w:jc w:val="center"/>
      </w:pPr>
      <w:r>
        <w:rPr>
          <w:rFonts w:ascii="Arial" w:hAnsi="Arial"/>
          <w:b/>
          <w:sz w:val="24"/>
        </w:rPr>
        <w:t>V(m) = D(m) + f · A(m)</w:t>
      </w:r>
    </w:p>
    <w:p>
      <w:pPr>
        <w:spacing w:line="240" w:lineRule="auto"/>
      </w:pPr>
      <w:r>
        <w:rPr>
          <w:rFonts w:ascii="Arial" w:hAnsi="Arial"/>
          <w:b w:val="0"/>
          <w:i w:val="0"/>
          <w:color w:val="000000"/>
          <w:sz w:val="24"/>
        </w:rPr>
        <w:t>D(m) son las entradas observadas en los puestos del propio destino (02 Mundo Maya, 17 El Naranjo, 18 Bethel, 20 Melchor de Mencos); A(m) son los turistas que ingresan por 01 La Aurora; f es el factor de reparto, un supuesto del observatorio (no un parámetro estimado de los datos), fijado provisionalmente en 0.12 y pendiente de calibrar con el registro de visitantes del Parque Nacional Tikal (IDAEH). D y A se calculan sobre conjuntos de registros disjuntos, de modo que ningún viajero se cuenta dos veces; esto se verifica automáticamente en cada ejecución (control 6).</w:t>
      </w:r>
    </w:p>
    <w:p/>
    <w:p>
      <w:pPr>
        <w:spacing w:line="276" w:lineRule="auto"/>
      </w:pPr>
      <w:r>
        <w:rPr>
          <w:rFonts w:ascii="Arial" w:hAnsi="Arial"/>
          <w:b/>
          <w:i w:val="0"/>
          <w:color w:val="196B24"/>
          <w:sz w:val="32"/>
        </w:rPr>
        <w:t>2. Diagrama del flujo</w:t>
      </w:r>
    </w:p>
    <w:p>
      <w:pPr>
        <w:spacing w:line="240" w:lineRule="auto"/>
      </w:pPr>
      <w:r>
        <w:rPr>
          <w:rFonts w:ascii="Arial" w:hAnsi="Arial"/>
          <w:b w:val="0"/>
          <w:i w:val="0"/>
          <w:color w:val="000000"/>
          <w:sz w:val="24"/>
        </w:rPr>
        <w:t>El diagrama muestra las siete etapas, desde la lectura de la fuente hasta la consulta de las estimaciones en el tablero del Laboratorio 10, y señala los tres puntos de control: dónde se validan los datos, dónde se evalúa el procedimiento y dónde se autoriza la publicación.</w:t>
      </w:r>
    </w:p>
    <w:p>
      <w:pPr>
        <w:jc w:val="center"/>
      </w:pPr>
      <w:r>
        <w:drawing>
          <wp:inline xmlns:a="http://schemas.openxmlformats.org/drawingml/2006/main" xmlns:pic="http://schemas.openxmlformats.org/drawingml/2006/picture">
            <wp:extent cx="5577840" cy="7108861"/>
            <wp:docPr id="1" name="Picture 1"/>
            <wp:cNvGraphicFramePr>
              <a:graphicFrameLocks noChangeAspect="1"/>
            </wp:cNvGraphicFramePr>
            <a:graphic>
              <a:graphicData uri="http://schemas.openxmlformats.org/drawingml/2006/picture">
                <pic:pic>
                  <pic:nvPicPr>
                    <pic:cNvPr id="0" name="lab11_flujo.png"/>
                    <pic:cNvPicPr/>
                  </pic:nvPicPr>
                  <pic:blipFill>
                    <a:blip r:embed="rId9"/>
                    <a:stretch>
                      <a:fillRect/>
                    </a:stretch>
                  </pic:blipFill>
                  <pic:spPr>
                    <a:xfrm>
                      <a:off x="0" y="0"/>
                      <a:ext cx="5577840" cy="7108861"/>
                    </a:xfrm>
                    <a:prstGeom prst="rect"/>
                  </pic:spPr>
                </pic:pic>
              </a:graphicData>
            </a:graphic>
          </wp:inline>
        </w:drawing>
      </w:r>
    </w:p>
    <w:p>
      <w:pPr>
        <w:spacing w:line="240" w:lineRule="auto"/>
        <w:jc w:val="center"/>
      </w:pPr>
      <w:r>
        <w:rPr>
          <w:rFonts w:ascii="Arial" w:hAnsi="Arial"/>
          <w:b w:val="0"/>
          <w:i/>
          <w:color w:val="000000"/>
          <w:sz w:val="20"/>
        </w:rPr>
        <w:t>Figura 1. Flujo del pipeline, generado automáticamente con 06_mlops/src/diagrama.py.</w:t>
      </w:r>
    </w:p>
    <w:p/>
    <w:p>
      <w:pPr>
        <w:spacing w:line="276" w:lineRule="auto"/>
      </w:pPr>
      <w:r>
        <w:rPr>
          <w:rFonts w:ascii="Arial" w:hAnsi="Arial"/>
          <w:b/>
          <w:i w:val="0"/>
          <w:color w:val="196B24"/>
          <w:sz w:val="32"/>
        </w:rPr>
        <w:t>3. Pipeline reproducible</w:t>
      </w:r>
    </w:p>
    <w:p>
      <w:pPr>
        <w:spacing w:line="240" w:lineRule="auto"/>
      </w:pPr>
      <w:r>
        <w:rPr>
          <w:rFonts w:ascii="Arial" w:hAnsi="Arial"/>
          <w:b w:val="0"/>
          <w:i w:val="0"/>
          <w:color w:val="000000"/>
          <w:sz w:val="24"/>
        </w:rPr>
        <w:t>Un solo comando ejecuta las siete etapas, sin modificar archivos intermedios a mano ni depender del estado de una sesión:</w:t>
      </w:r>
    </w:p>
    <w:p>
      <w:pPr>
        <w:spacing w:line="240" w:lineRule="auto"/>
      </w:pPr>
      <w:r>
        <w:rPr>
          <w:rFonts w:ascii="Consolas" w:hAnsi="Consolas"/>
          <w:sz w:val="20"/>
        </w:rPr>
        <w:t>python 06_mlops/src/pipeline.py --config 06_mlops/config/pipeline.yaml</w:t>
      </w:r>
    </w:p>
    <w:p>
      <w:pPr>
        <w:spacing w:line="240" w:lineRule="auto"/>
      </w:pPr>
      <w:r>
        <w:rPr>
          <w:rFonts w:ascii="Arial" w:hAnsi="Arial"/>
          <w:b w:val="0"/>
          <w:i w:val="0"/>
          <w:color w:val="000000"/>
          <w:sz w:val="24"/>
        </w:rPr>
        <w:t>El archivo de configuración (06_mlops/config/pipeline.yaml) concentra rutas, períodos, parámetros del procedimiento (incluido el factor de reparto), umbrales de aceptación y el nivel —crítico o advertencia— de cada control. Se registran además las versiones de las dependencias (pandas, numpy, statsmodels, PyYAML, openpyxl) y una semilla fija; los modelos reutilizados (Holt-Winters, SES, seasonal naive) son deterministas, así que dos ejecuciones con los mismos datos producen resultados idénticos. El tablero solo lee el archivo publicado: cambiar un filtro en la interfaz no vuelve a ajustar el procedimiento.</w:t>
      </w:r>
    </w:p>
    <w:p>
      <w:pPr>
        <w:spacing w:line="276" w:lineRule="auto"/>
      </w:pPr>
      <w:r>
        <w:rPr>
          <w:rFonts w:ascii="Arial" w:hAnsi="Arial"/>
          <w:b/>
          <w:i w:val="0"/>
          <w:color w:val="000000"/>
          <w:sz w:val="24"/>
        </w:rPr>
        <w:t>Etapas</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3A7C22"/>
          </w:tcPr>
          <w:p>
            <w:pPr>
              <w:jc w:val="center"/>
            </w:pPr>
            <w:r/>
            <w:r>
              <w:rPr>
                <w:rFonts w:ascii="Arial" w:hAnsi="Arial"/>
                <w:b/>
                <w:color w:val="FFFFFF"/>
                <w:sz w:val="20"/>
              </w:rPr>
              <w:t>#</w:t>
            </w:r>
          </w:p>
        </w:tc>
        <w:tc>
          <w:tcPr>
            <w:tcW w:type="dxa" w:w="2016"/>
            <w:shd w:val="clear" w:color="auto" w:fill="3A7C22"/>
          </w:tcPr>
          <w:p>
            <w:pPr>
              <w:jc w:val="center"/>
            </w:pPr>
            <w:r/>
            <w:r>
              <w:rPr>
                <w:rFonts w:ascii="Arial" w:hAnsi="Arial"/>
                <w:b/>
                <w:color w:val="FFFFFF"/>
                <w:sz w:val="20"/>
              </w:rPr>
              <w:t>Etapa</w:t>
            </w:r>
          </w:p>
        </w:tc>
        <w:tc>
          <w:tcPr>
            <w:tcW w:type="dxa" w:w="6768"/>
            <w:shd w:val="clear" w:color="auto" w:fill="3A7C22"/>
          </w:tcPr>
          <w:p>
            <w:pPr>
              <w:jc w:val="center"/>
            </w:pPr>
            <w:r/>
            <w:r>
              <w:rPr>
                <w:rFonts w:ascii="Arial" w:hAnsi="Arial"/>
                <w:b/>
                <w:color w:val="FFFFFF"/>
                <w:sz w:val="20"/>
              </w:rPr>
              <w:t>Qué hace</w:t>
            </w:r>
          </w:p>
        </w:tc>
      </w:tr>
      <w:tr>
        <w:tc>
          <w:tcPr>
            <w:tcW w:type="dxa" w:w="576"/>
          </w:tcPr>
          <w:p>
            <w:r/>
            <w:r>
              <w:rPr>
                <w:rFonts w:ascii="Arial" w:hAnsi="Arial"/>
                <w:b w:val="0"/>
                <w:color w:val="000000"/>
                <w:sz w:val="20"/>
              </w:rPr>
              <w:t>1</w:t>
            </w:r>
          </w:p>
        </w:tc>
        <w:tc>
          <w:tcPr>
            <w:tcW w:type="dxa" w:w="2016"/>
          </w:tcPr>
          <w:p>
            <w:r/>
            <w:r>
              <w:rPr>
                <w:rFonts w:ascii="Arial" w:hAnsi="Arial"/>
                <w:b w:val="0"/>
                <w:color w:val="000000"/>
                <w:sz w:val="20"/>
              </w:rPr>
              <w:t>Lectura</w:t>
            </w:r>
          </w:p>
        </w:tc>
        <w:tc>
          <w:tcPr>
            <w:tcW w:type="dxa" w:w="6768"/>
          </w:tcPr>
          <w:p>
            <w:r/>
            <w:r>
              <w:rPr>
                <w:rFonts w:ascii="Arial" w:hAnsi="Arial"/>
                <w:b w:val="0"/>
                <w:color w:val="000000"/>
                <w:sz w:val="20"/>
              </w:rPr>
              <w:t>Lee la fuente institucional y calcula su huella SHA-256</w:t>
            </w:r>
          </w:p>
        </w:tc>
      </w:tr>
      <w:tr>
        <w:tc>
          <w:tcPr>
            <w:tcW w:type="dxa" w:w="576"/>
          </w:tcPr>
          <w:p>
            <w:r/>
            <w:r>
              <w:rPr>
                <w:rFonts w:ascii="Arial" w:hAnsi="Arial"/>
                <w:b w:val="0"/>
                <w:color w:val="000000"/>
                <w:sz w:val="20"/>
              </w:rPr>
              <w:t>2</w:t>
            </w:r>
          </w:p>
        </w:tc>
        <w:tc>
          <w:tcPr>
            <w:tcW w:type="dxa" w:w="2016"/>
          </w:tcPr>
          <w:p>
            <w:r/>
            <w:r>
              <w:rPr>
                <w:rFonts w:ascii="Arial" w:hAnsi="Arial"/>
                <w:b w:val="0"/>
                <w:color w:val="000000"/>
                <w:sz w:val="20"/>
              </w:rPr>
              <w:t>Validación</w:t>
            </w:r>
          </w:p>
        </w:tc>
        <w:tc>
          <w:tcPr>
            <w:tcW w:type="dxa" w:w="6768"/>
          </w:tcPr>
          <w:p>
            <w:r/>
            <w:r>
              <w:rPr>
                <w:rFonts w:ascii="Arial" w:hAnsi="Arial"/>
                <w:b w:val="0"/>
                <w:color w:val="000000"/>
                <w:sz w:val="20"/>
              </w:rPr>
              <w:t>Corre los seis controles de calidad (sección 4)</w:t>
            </w:r>
          </w:p>
        </w:tc>
      </w:tr>
      <w:tr>
        <w:tc>
          <w:tcPr>
            <w:tcW w:type="dxa" w:w="576"/>
          </w:tcPr>
          <w:p>
            <w:r/>
            <w:r>
              <w:rPr>
                <w:rFonts w:ascii="Arial" w:hAnsi="Arial"/>
                <w:b w:val="0"/>
                <w:color w:val="000000"/>
                <w:sz w:val="20"/>
              </w:rPr>
              <w:t>3</w:t>
            </w:r>
          </w:p>
        </w:tc>
        <w:tc>
          <w:tcPr>
            <w:tcW w:type="dxa" w:w="2016"/>
          </w:tcPr>
          <w:p>
            <w:r/>
            <w:r>
              <w:rPr>
                <w:rFonts w:ascii="Arial" w:hAnsi="Arial"/>
                <w:b w:val="0"/>
                <w:color w:val="000000"/>
                <w:sz w:val="20"/>
              </w:rPr>
              <w:t>Preparación</w:t>
            </w:r>
          </w:p>
        </w:tc>
        <w:tc>
          <w:tcPr>
            <w:tcW w:type="dxa" w:w="6768"/>
          </w:tcPr>
          <w:p>
            <w:r/>
            <w:r>
              <w:rPr>
                <w:rFonts w:ascii="Arial" w:hAnsi="Arial"/>
                <w:b w:val="0"/>
                <w:color w:val="000000"/>
                <w:sz w:val="20"/>
              </w:rPr>
              <w:t>Construye la serie mensual del destino con el factor de reparto</w:t>
            </w:r>
          </w:p>
        </w:tc>
      </w:tr>
      <w:tr>
        <w:tc>
          <w:tcPr>
            <w:tcW w:type="dxa" w:w="576"/>
          </w:tcPr>
          <w:p>
            <w:r/>
            <w:r>
              <w:rPr>
                <w:rFonts w:ascii="Arial" w:hAnsi="Arial"/>
                <w:b w:val="0"/>
                <w:color w:val="000000"/>
                <w:sz w:val="20"/>
              </w:rPr>
              <w:t>4</w:t>
            </w:r>
          </w:p>
        </w:tc>
        <w:tc>
          <w:tcPr>
            <w:tcW w:type="dxa" w:w="2016"/>
          </w:tcPr>
          <w:p>
            <w:r/>
            <w:r>
              <w:rPr>
                <w:rFonts w:ascii="Arial" w:hAnsi="Arial"/>
                <w:b w:val="0"/>
                <w:color w:val="000000"/>
                <w:sz w:val="20"/>
              </w:rPr>
              <w:t>Ajuste</w:t>
            </w:r>
          </w:p>
        </w:tc>
        <w:tc>
          <w:tcPr>
            <w:tcW w:type="dxa" w:w="6768"/>
          </w:tcPr>
          <w:p>
            <w:r/>
            <w:r>
              <w:rPr>
                <w:rFonts w:ascii="Arial" w:hAnsi="Arial"/>
                <w:b w:val="0"/>
                <w:color w:val="000000"/>
                <w:sz w:val="20"/>
              </w:rPr>
              <w:t>Calcula los parámetros del procedimiento solo con el tramo de ajuste</w:t>
            </w:r>
          </w:p>
        </w:tc>
      </w:tr>
      <w:tr>
        <w:tc>
          <w:tcPr>
            <w:tcW w:type="dxa" w:w="576"/>
          </w:tcPr>
          <w:p>
            <w:r/>
            <w:r>
              <w:rPr>
                <w:rFonts w:ascii="Arial" w:hAnsi="Arial"/>
                <w:b w:val="0"/>
                <w:color w:val="000000"/>
                <w:sz w:val="20"/>
              </w:rPr>
              <w:t>5</w:t>
            </w:r>
          </w:p>
        </w:tc>
        <w:tc>
          <w:tcPr>
            <w:tcW w:type="dxa" w:w="2016"/>
          </w:tcPr>
          <w:p>
            <w:r/>
            <w:r>
              <w:rPr>
                <w:rFonts w:ascii="Arial" w:hAnsi="Arial"/>
                <w:b w:val="0"/>
                <w:color w:val="000000"/>
                <w:sz w:val="20"/>
              </w:rPr>
              <w:t>Evaluación</w:t>
            </w:r>
          </w:p>
        </w:tc>
        <w:tc>
          <w:tcPr>
            <w:tcW w:type="dxa" w:w="6768"/>
          </w:tcPr>
          <w:p>
            <w:r/>
            <w:r>
              <w:rPr>
                <w:rFonts w:ascii="Arial" w:hAnsi="Arial"/>
                <w:b w:val="0"/>
                <w:color w:val="000000"/>
                <w:sz w:val="20"/>
              </w:rPr>
              <w:t>MAE y RMSE del procedimiento y de una referencia, mismos meses</w:t>
            </w:r>
          </w:p>
        </w:tc>
      </w:tr>
      <w:tr>
        <w:tc>
          <w:tcPr>
            <w:tcW w:type="dxa" w:w="576"/>
          </w:tcPr>
          <w:p>
            <w:r/>
            <w:r>
              <w:rPr>
                <w:rFonts w:ascii="Arial" w:hAnsi="Arial"/>
                <w:b w:val="0"/>
                <w:color w:val="000000"/>
                <w:sz w:val="20"/>
              </w:rPr>
              <w:t>6</w:t>
            </w:r>
          </w:p>
        </w:tc>
        <w:tc>
          <w:tcPr>
            <w:tcW w:type="dxa" w:w="2016"/>
          </w:tcPr>
          <w:p>
            <w:r/>
            <w:r>
              <w:rPr>
                <w:rFonts w:ascii="Arial" w:hAnsi="Arial"/>
                <w:b w:val="0"/>
                <w:color w:val="000000"/>
                <w:sz w:val="20"/>
              </w:rPr>
              <w:t>Almacenamiento</w:t>
            </w:r>
          </w:p>
        </w:tc>
        <w:tc>
          <w:tcPr>
            <w:tcW w:type="dxa" w:w="6768"/>
          </w:tcPr>
          <w:p>
            <w:r/>
            <w:r>
              <w:rPr>
                <w:rFonts w:ascii="Arial" w:hAnsi="Arial"/>
                <w:b w:val="0"/>
                <w:color w:val="000000"/>
                <w:sz w:val="20"/>
              </w:rPr>
              <w:t>Escribe el expediente de la ejecución (aprobada o no)</w:t>
            </w:r>
          </w:p>
        </w:tc>
      </w:tr>
      <w:tr>
        <w:tc>
          <w:tcPr>
            <w:tcW w:type="dxa" w:w="576"/>
          </w:tcPr>
          <w:p>
            <w:r/>
            <w:r>
              <w:rPr>
                <w:rFonts w:ascii="Arial" w:hAnsi="Arial"/>
                <w:b w:val="0"/>
                <w:color w:val="000000"/>
                <w:sz w:val="20"/>
              </w:rPr>
              <w:t>7</w:t>
            </w:r>
          </w:p>
        </w:tc>
        <w:tc>
          <w:tcPr>
            <w:tcW w:type="dxa" w:w="2016"/>
          </w:tcPr>
          <w:p>
            <w:r/>
            <w:r>
              <w:rPr>
                <w:rFonts w:ascii="Arial" w:hAnsi="Arial"/>
                <w:b w:val="0"/>
                <w:color w:val="000000"/>
                <w:sz w:val="20"/>
              </w:rPr>
              <w:t>Publicación</w:t>
            </w:r>
          </w:p>
        </w:tc>
        <w:tc>
          <w:tcPr>
            <w:tcW w:type="dxa" w:w="6768"/>
          </w:tcPr>
          <w:p>
            <w:r/>
            <w:r>
              <w:rPr>
                <w:rFonts w:ascii="Arial" w:hAnsi="Arial"/>
                <w:b w:val="0"/>
                <w:color w:val="000000"/>
                <w:sz w:val="20"/>
              </w:rPr>
              <w:t>Copia a la carpeta aprobada solo si la regla de aceptación aprueba</w:t>
            </w:r>
          </w:p>
        </w:tc>
      </w:tr>
    </w:tbl>
    <w:p>
      <w:pPr>
        <w:spacing w:line="240" w:lineRule="auto"/>
        <w:jc w:val="center"/>
      </w:pPr>
      <w:r>
        <w:rPr>
          <w:rFonts w:ascii="Arial" w:hAnsi="Arial"/>
          <w:b w:val="0"/>
          <w:i/>
          <w:color w:val="000000"/>
          <w:sz w:val="20"/>
        </w:rPr>
        <w:t>Tabla 2. Etapas del pipeline.</w:t>
      </w:r>
    </w:p>
    <w:p/>
    <w:p>
      <w:pPr>
        <w:spacing w:line="276" w:lineRule="auto"/>
      </w:pPr>
      <w:r>
        <w:rPr>
          <w:rFonts w:ascii="Arial" w:hAnsi="Arial"/>
          <w:b/>
          <w:i w:val="0"/>
          <w:color w:val="196B24"/>
          <w:sz w:val="32"/>
        </w:rPr>
        <w:t>4. Controles automáticos de calidad</w:t>
      </w:r>
    </w:p>
    <w:p>
      <w:pPr>
        <w:spacing w:line="240" w:lineRule="auto"/>
      </w:pPr>
      <w:r>
        <w:rPr>
          <w:rFonts w:ascii="Arial" w:hAnsi="Arial"/>
          <w:b w:val="0"/>
          <w:i w:val="0"/>
          <w:color w:val="000000"/>
          <w:sz w:val="24"/>
        </w:rPr>
        <w:t>Los seis controles corren siempre, aunque uno falle, para que el reporte describa el estado completo de la fuente; el pipeline decide detenerse cuando uno crítico está en error. Un control que lanza una excepción queda en error: un control roto nunca aprueba una versión. Un mes del rango de cobertura sin información nunca se convierte en cero.</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3A7C22"/>
          </w:tcPr>
          <w:p>
            <w:pPr>
              <w:jc w:val="center"/>
            </w:pPr>
            <w:r/>
            <w:r>
              <w:rPr>
                <w:rFonts w:ascii="Arial" w:hAnsi="Arial"/>
                <w:b/>
                <w:color w:val="FFFFFF"/>
                <w:sz w:val="20"/>
              </w:rPr>
              <w:t>#</w:t>
            </w:r>
          </w:p>
        </w:tc>
        <w:tc>
          <w:tcPr>
            <w:tcW w:type="dxa" w:w="2448"/>
            <w:shd w:val="clear" w:color="auto" w:fill="3A7C22"/>
          </w:tcPr>
          <w:p>
            <w:pPr>
              <w:jc w:val="center"/>
            </w:pPr>
            <w:r/>
            <w:r>
              <w:rPr>
                <w:rFonts w:ascii="Arial" w:hAnsi="Arial"/>
                <w:b/>
                <w:color w:val="FFFFFF"/>
                <w:sz w:val="20"/>
              </w:rPr>
              <w:t>Control</w:t>
            </w:r>
          </w:p>
        </w:tc>
        <w:tc>
          <w:tcPr>
            <w:tcW w:type="dxa" w:w="6336"/>
            <w:shd w:val="clear" w:color="auto" w:fill="3A7C22"/>
          </w:tcPr>
          <w:p>
            <w:pPr>
              <w:jc w:val="center"/>
            </w:pPr>
            <w:r/>
            <w:r>
              <w:rPr>
                <w:rFonts w:ascii="Arial" w:hAnsi="Arial"/>
                <w:b/>
                <w:color w:val="FFFFFF"/>
                <w:sz w:val="20"/>
              </w:rPr>
              <w:t>Detiene cuando…</w:t>
            </w:r>
          </w:p>
        </w:tc>
      </w:tr>
      <w:tr>
        <w:tc>
          <w:tcPr>
            <w:tcW w:type="dxa" w:w="576"/>
          </w:tcPr>
          <w:p>
            <w:r/>
            <w:r>
              <w:rPr>
                <w:rFonts w:ascii="Arial" w:hAnsi="Arial"/>
                <w:b w:val="0"/>
                <w:color w:val="000000"/>
                <w:sz w:val="20"/>
              </w:rPr>
              <w:t>1</w:t>
            </w:r>
          </w:p>
        </w:tc>
        <w:tc>
          <w:tcPr>
            <w:tcW w:type="dxa" w:w="2448"/>
          </w:tcPr>
          <w:p>
            <w:r/>
            <w:r>
              <w:rPr>
                <w:rFonts w:ascii="Arial" w:hAnsi="Arial"/>
                <w:b w:val="0"/>
                <w:color w:val="000000"/>
                <w:sz w:val="20"/>
              </w:rPr>
              <w:t>Columnas y tipos</w:t>
            </w:r>
          </w:p>
        </w:tc>
        <w:tc>
          <w:tcPr>
            <w:tcW w:type="dxa" w:w="6336"/>
          </w:tcPr>
          <w:p>
            <w:r/>
            <w:r>
              <w:rPr>
                <w:rFonts w:ascii="Arial" w:hAnsi="Arial"/>
                <w:b w:val="0"/>
                <w:color w:val="000000"/>
                <w:sz w:val="20"/>
              </w:rPr>
              <w:t>Falta una columna indispensable o una no admite su tipo</w:t>
            </w:r>
          </w:p>
        </w:tc>
      </w:tr>
      <w:tr>
        <w:tc>
          <w:tcPr>
            <w:tcW w:type="dxa" w:w="576"/>
          </w:tcPr>
          <w:p>
            <w:r/>
            <w:r>
              <w:rPr>
                <w:rFonts w:ascii="Arial" w:hAnsi="Arial"/>
                <w:b w:val="0"/>
                <w:color w:val="000000"/>
                <w:sz w:val="20"/>
              </w:rPr>
              <w:t>2</w:t>
            </w:r>
          </w:p>
        </w:tc>
        <w:tc>
          <w:tcPr>
            <w:tcW w:type="dxa" w:w="2448"/>
          </w:tcPr>
          <w:p>
            <w:r/>
            <w:r>
              <w:rPr>
                <w:rFonts w:ascii="Arial" w:hAnsi="Arial"/>
                <w:b w:val="0"/>
                <w:color w:val="000000"/>
                <w:sz w:val="20"/>
              </w:rPr>
              <w:t>Fechas y cobertura</w:t>
            </w:r>
          </w:p>
        </w:tc>
        <w:tc>
          <w:tcPr>
            <w:tcW w:type="dxa" w:w="6336"/>
          </w:tcPr>
          <w:p>
            <w:r/>
            <w:r>
              <w:rPr>
                <w:rFonts w:ascii="Arial" w:hAnsi="Arial"/>
                <w:b w:val="0"/>
                <w:color w:val="000000"/>
                <w:sz w:val="20"/>
              </w:rPr>
              <w:t>Hay fechas inválidas o meses sin cobertura sobre el umbral</w:t>
            </w:r>
          </w:p>
        </w:tc>
      </w:tr>
      <w:tr>
        <w:tc>
          <w:tcPr>
            <w:tcW w:type="dxa" w:w="576"/>
          </w:tcPr>
          <w:p>
            <w:r/>
            <w:r>
              <w:rPr>
                <w:rFonts w:ascii="Arial" w:hAnsi="Arial"/>
                <w:b w:val="0"/>
                <w:color w:val="000000"/>
                <w:sz w:val="20"/>
              </w:rPr>
              <w:t>3</w:t>
            </w:r>
          </w:p>
        </w:tc>
        <w:tc>
          <w:tcPr>
            <w:tcW w:type="dxa" w:w="2448"/>
          </w:tcPr>
          <w:p>
            <w:r/>
            <w:r>
              <w:rPr>
                <w:rFonts w:ascii="Arial" w:hAnsi="Arial"/>
                <w:b w:val="0"/>
                <w:color w:val="000000"/>
                <w:sz w:val="20"/>
              </w:rPr>
              <w:t>Unicidad</w:t>
            </w:r>
          </w:p>
        </w:tc>
        <w:tc>
          <w:tcPr>
            <w:tcW w:type="dxa" w:w="6336"/>
          </w:tcPr>
          <w:p>
            <w:r/>
            <w:r>
              <w:rPr>
                <w:rFonts w:ascii="Arial" w:hAnsi="Arial"/>
                <w:b w:val="0"/>
                <w:color w:val="000000"/>
                <w:sz w:val="20"/>
              </w:rPr>
              <w:t>La proporción de filas duplicadas (según la clave declarada) supera el umbral</w:t>
            </w:r>
          </w:p>
        </w:tc>
      </w:tr>
      <w:tr>
        <w:tc>
          <w:tcPr>
            <w:tcW w:type="dxa" w:w="576"/>
          </w:tcPr>
          <w:p>
            <w:r/>
            <w:r>
              <w:rPr>
                <w:rFonts w:ascii="Arial" w:hAnsi="Arial"/>
                <w:b w:val="0"/>
                <w:color w:val="000000"/>
                <w:sz w:val="20"/>
              </w:rPr>
              <w:t>4</w:t>
            </w:r>
          </w:p>
        </w:tc>
        <w:tc>
          <w:tcPr>
            <w:tcW w:type="dxa" w:w="2448"/>
          </w:tcPr>
          <w:p>
            <w:r/>
            <w:r>
              <w:rPr>
                <w:rFonts w:ascii="Arial" w:hAnsi="Arial"/>
                <w:b w:val="0"/>
                <w:color w:val="000000"/>
                <w:sz w:val="20"/>
              </w:rPr>
              <w:t>Valores faltantes</w:t>
            </w:r>
          </w:p>
        </w:tc>
        <w:tc>
          <w:tcPr>
            <w:tcW w:type="dxa" w:w="6336"/>
          </w:tcPr>
          <w:p>
            <w:r/>
            <w:r>
              <w:rPr>
                <w:rFonts w:ascii="Arial" w:hAnsi="Arial"/>
                <w:b w:val="0"/>
                <w:color w:val="000000"/>
                <w:sz w:val="20"/>
              </w:rPr>
              <w:t>Falta un valor en una columna indispensable</w:t>
            </w:r>
          </w:p>
        </w:tc>
      </w:tr>
      <w:tr>
        <w:tc>
          <w:tcPr>
            <w:tcW w:type="dxa" w:w="576"/>
          </w:tcPr>
          <w:p>
            <w:r/>
            <w:r>
              <w:rPr>
                <w:rFonts w:ascii="Arial" w:hAnsi="Arial"/>
                <w:b w:val="0"/>
                <w:color w:val="000000"/>
                <w:sz w:val="20"/>
              </w:rPr>
              <w:t>5</w:t>
            </w:r>
          </w:p>
        </w:tc>
        <w:tc>
          <w:tcPr>
            <w:tcW w:type="dxa" w:w="2448"/>
          </w:tcPr>
          <w:p>
            <w:r/>
            <w:r>
              <w:rPr>
                <w:rFonts w:ascii="Arial" w:hAnsi="Arial"/>
                <w:b w:val="0"/>
                <w:color w:val="000000"/>
                <w:sz w:val="20"/>
              </w:rPr>
              <w:t>Valores y denominadores</w:t>
            </w:r>
          </w:p>
        </w:tc>
        <w:tc>
          <w:tcPr>
            <w:tcW w:type="dxa" w:w="6336"/>
          </w:tcPr>
          <w:p>
            <w:r/>
            <w:r>
              <w:rPr>
                <w:rFonts w:ascii="Arial" w:hAnsi="Arial"/>
                <w:b w:val="0"/>
                <w:color w:val="000000"/>
                <w:sz w:val="20"/>
              </w:rPr>
              <w:t>Hay conteos negativos/no finitos, o el denominador del reparto es cero o falta en el período evaluado</w:t>
            </w:r>
          </w:p>
        </w:tc>
      </w:tr>
      <w:tr>
        <w:tc>
          <w:tcPr>
            <w:tcW w:type="dxa" w:w="576"/>
          </w:tcPr>
          <w:p>
            <w:r/>
            <w:r>
              <w:rPr>
                <w:rFonts w:ascii="Arial" w:hAnsi="Arial"/>
                <w:b w:val="0"/>
                <w:color w:val="000000"/>
                <w:sz w:val="20"/>
              </w:rPr>
              <w:t>6</w:t>
            </w:r>
          </w:p>
        </w:tc>
        <w:tc>
          <w:tcPr>
            <w:tcW w:type="dxa" w:w="2448"/>
          </w:tcPr>
          <w:p>
            <w:r/>
            <w:r>
              <w:rPr>
                <w:rFonts w:ascii="Arial" w:hAnsi="Arial"/>
                <w:b w:val="0"/>
                <w:color w:val="000000"/>
                <w:sz w:val="20"/>
              </w:rPr>
              <w:t>Regla metodológica</w:t>
            </w:r>
          </w:p>
        </w:tc>
        <w:tc>
          <w:tcPr>
            <w:tcW w:type="dxa" w:w="6336"/>
          </w:tcPr>
          <w:p>
            <w:r/>
            <w:r>
              <w:rPr>
                <w:rFonts w:ascii="Arial" w:hAnsi="Arial"/>
                <w:b w:val="0"/>
                <w:color w:val="000000"/>
                <w:sz w:val="20"/>
              </w:rPr>
              <w:t>La fuente trae granularidad diaria, los puestos del destino y el del reparto se solapan, o el factor de reparto está fuera de (0, 1]</w:t>
            </w:r>
          </w:p>
        </w:tc>
      </w:tr>
    </w:tbl>
    <w:p>
      <w:pPr>
        <w:spacing w:line="240" w:lineRule="auto"/>
        <w:jc w:val="center"/>
      </w:pPr>
      <w:r>
        <w:rPr>
          <w:rFonts w:ascii="Arial" w:hAnsi="Arial"/>
          <w:b w:val="0"/>
          <w:i/>
          <w:color w:val="000000"/>
          <w:sz w:val="20"/>
        </w:rPr>
        <w:t>Tabla 3. Los seis controles de calidad.</w:t>
      </w:r>
    </w:p>
    <w:p>
      <w:pPr>
        <w:spacing w:line="240" w:lineRule="auto"/>
      </w:pPr>
      <w:r>
        <w:rPr>
          <w:rFonts w:ascii="Arial" w:hAnsi="Arial"/>
          <w:b w:val="0"/>
          <w:i w:val="0"/>
          <w:color w:val="000000"/>
          <w:sz w:val="24"/>
        </w:rPr>
        <w:t>El control 3 detectó, en la primera ejecución, 42 filas que parecían duplicadas según la clave inicial (Año, Mes cod, Vía, Frontera, País, Tipo de Viajero). Al revisarlas, el mismo país aparecía en dos valores distintos de «Agrupación Residencia» en 20 combinaciones de 2020–2022: la clave declarada no cubría la granularidad real de la fuente. Se corrigió la configuración (se agregó esa columna a la clave), no los datos. Es el tipo de problema que el control existe para detectar.</w:t>
      </w:r>
    </w:p>
    <w:p/>
    <w:p>
      <w:pPr>
        <w:spacing w:line="276" w:lineRule="auto"/>
      </w:pPr>
      <w:r>
        <w:rPr>
          <w:rFonts w:ascii="Arial" w:hAnsi="Arial"/>
          <w:b/>
          <w:i w:val="0"/>
          <w:color w:val="196B24"/>
          <w:sz w:val="32"/>
        </w:rPr>
        <w:t>5. Resultados del avance</w:t>
      </w:r>
    </w:p>
    <w:p>
      <w:pPr>
        <w:spacing w:line="240" w:lineRule="auto"/>
      </w:pPr>
      <w:r>
        <w:rPr>
          <w:rFonts w:ascii="Arial" w:hAnsi="Arial"/>
          <w:b w:val="0"/>
          <w:i w:val="0"/>
          <w:color w:val="000000"/>
          <w:sz w:val="24"/>
        </w:rPr>
        <w:t>Dos ejecuciones completas con los mismos datos y la misma configuración produjeron estimaciones idénticas (diferencia máxima 0.0, por debajo de la tolerancia configurada de 1e-6), lo que confirma la reproducibilidad del procedimiento.</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3A7C22"/>
          </w:tcPr>
          <w:p>
            <w:pPr>
              <w:jc w:val="center"/>
            </w:pPr>
            <w:r/>
            <w:r>
              <w:rPr>
                <w:rFonts w:ascii="Arial" w:hAnsi="Arial"/>
                <w:b/>
                <w:color w:val="FFFFFF"/>
                <w:sz w:val="20"/>
              </w:rPr>
              <w:t>Medida</w:t>
            </w:r>
          </w:p>
        </w:tc>
        <w:tc>
          <w:tcPr>
            <w:tcW w:type="dxa" w:w="3456"/>
            <w:shd w:val="clear" w:color="auto" w:fill="3A7C22"/>
          </w:tcPr>
          <w:p>
            <w:pPr>
              <w:jc w:val="center"/>
            </w:pPr>
            <w:r/>
            <w:r>
              <w:rPr>
                <w:rFonts w:ascii="Arial" w:hAnsi="Arial"/>
                <w:b/>
                <w:color w:val="FFFFFF"/>
                <w:sz w:val="20"/>
              </w:rPr>
              <w:t>Procedimiento (Holt-Winters)</w:t>
            </w:r>
          </w:p>
        </w:tc>
        <w:tc>
          <w:tcPr>
            <w:tcW w:type="dxa" w:w="3456"/>
            <w:shd w:val="clear" w:color="auto" w:fill="3A7C22"/>
          </w:tcPr>
          <w:p>
            <w:pPr>
              <w:jc w:val="center"/>
            </w:pPr>
            <w:r/>
            <w:r>
              <w:rPr>
                <w:rFonts w:ascii="Arial" w:hAnsi="Arial"/>
                <w:b/>
                <w:color w:val="FFFFFF"/>
                <w:sz w:val="20"/>
              </w:rPr>
              <w:t>Referencia (promedio histórico)</w:t>
            </w:r>
          </w:p>
        </w:tc>
      </w:tr>
      <w:tr>
        <w:tc>
          <w:tcPr>
            <w:tcW w:type="dxa" w:w="2304"/>
          </w:tcPr>
          <w:p>
            <w:r/>
            <w:r>
              <w:rPr>
                <w:rFonts w:ascii="Arial" w:hAnsi="Arial"/>
                <w:b w:val="0"/>
                <w:color w:val="000000"/>
                <w:sz w:val="20"/>
              </w:rPr>
              <w:t>MAE</w:t>
            </w:r>
          </w:p>
        </w:tc>
        <w:tc>
          <w:tcPr>
            <w:tcW w:type="dxa" w:w="3456"/>
          </w:tcPr>
          <w:p>
            <w:r/>
            <w:r>
              <w:rPr>
                <w:rFonts w:ascii="Arial" w:hAnsi="Arial"/>
                <w:b w:val="0"/>
                <w:color w:val="000000"/>
                <w:sz w:val="20"/>
              </w:rPr>
              <w:t>3,110.0 viajeros/mes</w:t>
            </w:r>
          </w:p>
        </w:tc>
        <w:tc>
          <w:tcPr>
            <w:tcW w:type="dxa" w:w="3456"/>
          </w:tcPr>
          <w:p>
            <w:r/>
            <w:r>
              <w:rPr>
                <w:rFonts w:ascii="Arial" w:hAnsi="Arial"/>
                <w:b w:val="0"/>
                <w:color w:val="000000"/>
                <w:sz w:val="20"/>
              </w:rPr>
              <w:t>4,264.4 viajeros/mes</w:t>
            </w:r>
          </w:p>
        </w:tc>
      </w:tr>
      <w:tr>
        <w:tc>
          <w:tcPr>
            <w:tcW w:type="dxa" w:w="2304"/>
          </w:tcPr>
          <w:p>
            <w:r/>
            <w:r>
              <w:rPr>
                <w:rFonts w:ascii="Arial" w:hAnsi="Arial"/>
                <w:b w:val="0"/>
                <w:color w:val="000000"/>
                <w:sz w:val="20"/>
              </w:rPr>
              <w:t>RMSE</w:t>
            </w:r>
          </w:p>
        </w:tc>
        <w:tc>
          <w:tcPr>
            <w:tcW w:type="dxa" w:w="3456"/>
          </w:tcPr>
          <w:p>
            <w:r/>
            <w:r>
              <w:rPr>
                <w:rFonts w:ascii="Arial" w:hAnsi="Arial"/>
                <w:b w:val="0"/>
                <w:color w:val="000000"/>
                <w:sz w:val="20"/>
              </w:rPr>
              <w:t>3,669.0</w:t>
            </w:r>
          </w:p>
        </w:tc>
        <w:tc>
          <w:tcPr>
            <w:tcW w:type="dxa" w:w="3456"/>
          </w:tcPr>
          <w:p>
            <w:r/>
            <w:r>
              <w:rPr>
                <w:rFonts w:ascii="Arial" w:hAnsi="Arial"/>
                <w:b w:val="0"/>
                <w:color w:val="000000"/>
                <w:sz w:val="20"/>
              </w:rPr>
              <w:t>4,760.2</w:t>
            </w:r>
          </w:p>
        </w:tc>
      </w:tr>
      <w:tr>
        <w:tc>
          <w:tcPr>
            <w:tcW w:type="dxa" w:w="2304"/>
          </w:tcPr>
          <w:p>
            <w:r/>
            <w:r>
              <w:rPr>
                <w:rFonts w:ascii="Arial" w:hAnsi="Arial"/>
                <w:b w:val="0"/>
                <w:color w:val="000000"/>
                <w:sz w:val="20"/>
              </w:rPr>
              <w:t>Error relativo</w:t>
            </w:r>
          </w:p>
        </w:tc>
        <w:tc>
          <w:tcPr>
            <w:tcW w:type="dxa" w:w="3456"/>
          </w:tcPr>
          <w:p>
            <w:r/>
            <w:r>
              <w:rPr>
                <w:rFonts w:ascii="Arial" w:hAnsi="Arial"/>
                <w:b w:val="0"/>
                <w:color w:val="000000"/>
                <w:sz w:val="20"/>
              </w:rPr>
              <w:t>12.9 %</w:t>
            </w:r>
          </w:p>
        </w:tc>
        <w:tc>
          <w:tcPr>
            <w:tcW w:type="dxa" w:w="3456"/>
          </w:tcPr>
          <w:p>
            <w:r/>
            <w:r>
              <w:rPr>
                <w:rFonts w:ascii="Arial" w:hAnsi="Arial"/>
                <w:b w:val="0"/>
                <w:color w:val="000000"/>
                <w:sz w:val="20"/>
              </w:rPr>
              <w:t>17.8 %</w:t>
            </w:r>
          </w:p>
        </w:tc>
      </w:tr>
    </w:tbl>
    <w:p>
      <w:pPr>
        <w:spacing w:line="240" w:lineRule="auto"/>
        <w:jc w:val="center"/>
      </w:pPr>
      <w:r>
        <w:rPr>
          <w:rFonts w:ascii="Arial" w:hAnsi="Arial"/>
          <w:b w:val="0"/>
          <w:i/>
          <w:color w:val="000000"/>
          <w:sz w:val="20"/>
        </w:rPr>
        <w:t>Tabla 4. Desempeño en el período de evaluación (ene–jun 2026).</w:t>
      </w:r>
    </w:p>
    <w:p>
      <w:pPr>
        <w:spacing w:line="240" w:lineRule="auto"/>
      </w:pPr>
      <w:r>
        <w:rPr>
          <w:rFonts w:ascii="Arial" w:hAnsi="Arial"/>
          <w:b w:val="0"/>
          <w:i w:val="0"/>
          <w:color w:val="000000"/>
          <w:sz w:val="24"/>
        </w:rPr>
        <w:t>El procedimiento supera a la referencia en este período, aunque la regla de aceptación no lo exige (umbral MAE ≤ 12,000 y error relativo ≤ 35 %, holgados frente al 13 % observado, pero capaces de rechazar una degradación evidente).</w:t>
      </w:r>
    </w:p>
    <w:p/>
    <w:p>
      <w:pPr>
        <w:spacing w:line="276" w:lineRule="auto"/>
      </w:pPr>
      <w:r>
        <w:rPr>
          <w:rFonts w:ascii="Arial" w:hAnsi="Arial"/>
          <w:b/>
          <w:i w:val="0"/>
          <w:color w:val="196B24"/>
          <w:sz w:val="32"/>
        </w:rPr>
        <w:t>6. Pendiente para la entrega final</w:t>
      </w:r>
    </w:p>
    <w:p>
      <w:pPr>
        <w:pStyle w:val="ListBullet"/>
      </w:pPr>
      <w:r>
        <w:rPr>
          <w:rFonts w:ascii="Arial" w:hAnsi="Arial"/>
          <w:sz w:val="24"/>
        </w:rPr>
        <w:t>Registro de ejecuciones en MLflow Tracking.</w:t>
      </w:r>
    </w:p>
    <w:p>
      <w:pPr>
        <w:pStyle w:val="ListBullet"/>
      </w:pPr>
      <w:r>
        <w:rPr>
          <w:rFonts w:ascii="Arial" w:hAnsi="Arial"/>
          <w:sz w:val="24"/>
        </w:rPr>
        <w:t>Integración visual con el tablero: distinguir observado de estimado, fecha de actualización y métrica de validación.</w:t>
      </w:r>
    </w:p>
    <w:p>
      <w:pPr>
        <w:pStyle w:val="ListBullet"/>
      </w:pPr>
      <w:r>
        <w:rPr>
          <w:rFonts w:ascii="Arial" w:hAnsi="Arial"/>
          <w:sz w:val="24"/>
        </w:rPr>
        <w:t>Verificaciones de monitoreo (actualización, calidad, resultados) sobre el historial.</w:t>
      </w:r>
    </w:p>
    <w:p>
      <w:pPr>
        <w:pStyle w:val="ListBullet"/>
      </w:pPr>
      <w:r>
        <w:rPr>
          <w:rFonts w:ascii="Arial" w:hAnsi="Arial"/>
          <w:sz w:val="24"/>
        </w:rPr>
        <w:t>Docker y Docker Compose con persistencia de MLflow y de las versiones aprobadas.</w:t>
      </w:r>
    </w:p>
    <w:p/>
    <w:p>
      <w:pPr>
        <w:spacing w:line="276" w:lineRule="auto"/>
      </w:pPr>
      <w:r>
        <w:rPr>
          <w:rFonts w:ascii="Arial" w:hAnsi="Arial"/>
          <w:b/>
          <w:i w:val="0"/>
          <w:color w:val="196B24"/>
          <w:sz w:val="32"/>
        </w:rPr>
        <w:t>7. Repositorio</w:t>
      </w:r>
    </w:p>
    <w:p>
      <w:pPr>
        <w:spacing w:line="240" w:lineRule="auto"/>
      </w:pPr>
      <w:r>
        <w:rPr>
          <w:rFonts w:ascii="Arial" w:hAnsi="Arial"/>
          <w:b w:val="0"/>
          <w:i w:val="0"/>
          <w:color w:val="000000"/>
          <w:sz w:val="24"/>
        </w:rPr>
        <w:t>https://github.com/Dulce2004/CC3084-Data_Science/tree/Lab11-MLOps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