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ind w:left="4535"/>
        <w:jc w:val="right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«Агула Даатгал» ХХК-ийн Гүйцэтгэх захирлын</w:t>
      </w:r>
    </w:p>
    <w:p>
      <w:pPr>
        <w:spacing w:after="0" w:before="0" w:line="240" w:lineRule="auto"/>
        <w:ind w:left="4535"/>
        <w:jc w:val="right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20___ оны ___ дугаар сарын ___-ны өдрийн</w:t>
      </w:r>
    </w:p>
    <w:p>
      <w:pPr>
        <w:spacing w:after="0" w:before="0" w:line="240" w:lineRule="auto"/>
        <w:ind w:left="4535"/>
        <w:jc w:val="right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А/___ дугаар тушаалын хавсралт</w:t>
      </w:r>
    </w:p>
    <w:p>
      <w:pPr>
        <w:spacing w:after="320" w:before="0" w:line="276" w:lineRule="auto"/>
        <w:jc w:val="both"/>
      </w:pPr>
    </w:p>
    <w:p>
      <w:pPr>
        <w:spacing w:after="80" w:before="0" w:line="240" w:lineRule="auto"/>
        <w:jc w:val="center"/>
      </w:pPr>
      <w:r>
        <w:rPr>
          <w:b/>
          <w:i w:val="0"/>
          <w:sz w:val="28"/>
          <w:rFonts w:ascii="Times New Roman" w:hAnsi="Times New Roman" w:cs="Times New Roman" w:eastAsia="Times New Roman"/>
        </w:rPr>
        <w:t>НӨӨЦЛӨЛТ, ТАСРАЛТГҮЙ АЖИЛЛАГААНЫ ЖУРАМ</w:t>
      </w:r>
    </w:p>
    <w:p>
      <w:pPr>
        <w:spacing w:after="280" w:before="0" w:line="240" w:lineRule="auto"/>
        <w:jc w:val="center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Баримтын дугаар: IT-12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Баримтын төрөл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Журам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Баримтын дугаар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IT-12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Хувилбар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1.0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Боловсруулсан нэгж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Инноваци технологийн хэлтэс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Боловсруулсан албан тушаалтан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Инноваци технологийн хэлтсийн ахлах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Хянан баталгаажуулсан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Инноваци технологийн хэлтсийн захирал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Батлах эрх бүхий албан тушаалтан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Гүйцэтгэх захирал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Хариуцан хэрэгжүүлэгч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Инноваци технологийн хэлтсийн ахлах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Хүчин төгөлдөр болох огноо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20___ оны ___ сарын ___-ны өдөр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Хянан шинэчлэх давтамж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Жилд нэгээс доошгүй удаа</w:t>
            </w:r>
          </w:p>
        </w:tc>
      </w:tr>
    </w:tbl>
    <w:p>
      <w:pPr>
        <w:spacing w:after="240" w:before="0" w:line="276" w:lineRule="auto"/>
        <w:jc w:val="both"/>
      </w:pP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Нэг. Нийтлэг үндэслэл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1.1. Энэхүү журмын зорилго нь мэдээллийг нөөцлөх, сэргээх, түүнчлэн гамшиг, томоохон тасалдлын үед Компанийн эгзэгтэй үйл ажиллагааг сэргээх дарааллыг тогтооход оршино.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1.2. Энэхүү журам Компанийн бүх мэдээллийн систем, өгөгдөл, эгзэгтэй үйл ажиллагаанд хамаарна.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1.3. Энэхүү журамд хэрэглэсэн «Компани», «Хэлтэс», «Хэлтсийн захирал», «Хэлтсийн ахлах», «Хэрэглэгч» зэрэг нэр томьёог IT-01 «Мэдээллийн технологийн бодлого»-ын 1.5-д заасан утгаар ойлгоно.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1.4. Энэхүү журамд шинээр хэрэглэсэн нэр томьёог дараах утгаар ойлгоно: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1.4.1. «Нөөц» гэж эх өгөгдөл алдагдсан үед сэргээх зориулалтаар үүсгэсэн хуулбарыг;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1.4.2. «Сэргээлтийн туршилт» гэж нөөцөөс бодитоор сэргээж, үр дүнг шалгах ажиллагааг;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1.4.3. «Сэргээх зорилт» гэж үйлчилгээг сэргээхэд зөвшөөрөх дээд хугацааг;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1.4.4. «Өгөгдөл алдах зорилт» гэж алдахыг зөвшөөрөх өгөгдлийн дээд хэмжээг цагаар илэрхийлснийг;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1.4.5. «Эгзэгтэй үйл ажиллагаа» гэж зогссон тохиолдолд Компанийн үндсэн үйлчилгээ шууд тасалддаг ажиллагааг ойлгоно.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1.5. Нөөцлөх чадвар, сэргээх чадварыг тус тусад нь батална.</w:t>
      </w:r>
    </w:p>
    <w:p>
      <w:pPr>
        <w:spacing w:after="120" w:before="0" w:line="276" w:lineRule="auto"/>
        <w:ind w:left="567"/>
        <w:jc w:val="both"/>
      </w:pPr>
      <w:r>
        <w:rPr>
          <w:b w:val="0"/>
          <w:i/>
          <w:sz w:val="22"/>
          <w:rFonts w:ascii="Times New Roman" w:hAnsi="Times New Roman" w:cs="Times New Roman" w:eastAsia="Times New Roman"/>
        </w:rPr>
        <w:t>Тайлбар: Нөөц авагдаж байгаа нь сэргээгдэнэ гэсэн үг биш.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Хоёр. Нөөцлөх зүйл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2.1. Дараах зүйлийг заавал нөөцөлнө: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2.1.1. мэдээллийн сангийн бүх агуулга;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2.1.2. файл хадгалах сан дахь баримт, зураг;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2.1.3. серверийн тохиргоо, орчны хувьсагч;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2.1.4. программ хангамжийн эх код;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2.1.5. гарын үсгийн түлхүүр, сертификат;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2.1.6. лог бүртгэл;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2.1.7. Хэлтсийн баримтжуулалт.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2.2. Хүснэгт, багцыг сонгон нөөцлөхийг хориглоно. Мэдээллийн санг бүхэлд нь нөөцөлнө.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2.3. Түлхүүр, сертификат, нууц утгыг бусад нөөцөөс тусад нь, шифрлэсэн байдлаар хадгална.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2.4. Нөөцлөх зүйлийн жагсаалтыг мэдээллийн хөрөнгийн бүртгэлтэй улирал тутам тулгана.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Гурав. Нөөцлөлт — Давтамж, хадгалах хугацаа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3.1. Мэдээллийн санг өдөр бүр бүтнээр нөөцөлнө.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3.2. Мэдээллийн сангийн үйлдлийн бүртгэлийг (transaction log) тасралтгүй хуулбарлаж, цаг мөчид сэргээх боломжийг хангана.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3.3. Файл хадгалах санг өдөр бүр, өөрчлөгдсөн хэсгээр нь нөөцөлнө.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3.4. Тохиргоо, түлхүүрийг өөрчлөгдөх бүрд нөөцөлнө.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3.5. Нөөцийг дараах хугацаагаар хадгална: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3.5.1. өдөр тутмын нөөц — долоо хоног;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3.5.2. долоо хоног тутмын нөөц — дөрвөн долоо хоног;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3.5.3. сар тутмын нөөц — арван хоёр сар;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3.5.4. мэдээллийн сангийн үйлдлийн бүртгэл — долоо хоног;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3.5.5. тохиргоо, түлхүүр — сүүлийн таван хувилбар.</w:t>
      </w:r>
    </w:p>
    <w:p>
      <w:pPr>
        <w:spacing w:after="120" w:before="0" w:line="276" w:lineRule="auto"/>
        <w:ind w:left="567"/>
        <w:jc w:val="both"/>
      </w:pPr>
      <w:r>
        <w:rPr>
          <w:b w:val="0"/>
          <w:i/>
          <w:sz w:val="22"/>
          <w:rFonts w:ascii="Times New Roman" w:hAnsi="Times New Roman" w:cs="Times New Roman" w:eastAsia="Times New Roman"/>
        </w:rPr>
        <w:t>Тайлбар: Даатгалын гэрээ, нэхэмжлэлийн өгөгдлийг архивлах хугацааг Архив, албан хэрэг хөтлөлтийн тухай хууль болон даатгалын салбарын журамд нийцүүлэн эцэслэн тогтооно. Дээрх хугацаа нь ажиллагааны сэргээлтэд чиглэсэн бөгөөд архивын шаардлагыг орлохгүй. [БАТЛАХ]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Дөрөв. Нөөцлөлт — Хадгалах байршил, хамгаалалт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4.1. Нөөцийг ашиглалтын сервертэй өөр биет байршилд хадгална.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4.2. Ашиглалтын сервер нөөцийн хадгалах орчинд зөвхөн бичих эрхтэй байна.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4.3. Ашиглалтын серверт нөөцийг устгах, дарж бичих эрх олгохыг хориглоно.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4.4. Устгах эрхийг Хэлтсийн захиралд олгоно.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4.5. Нөөцийг амарч байх үед шифрлэнэ. Дамжуулахад хамгаалалттай суваг ашиглана.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4.6. Шифрлэлтийн түлхүүрийг нөөцтэй хамт хадгалахыг хориглоно.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4.7. Нөөцөд хандах эрхийг нэр заасан ажилтанд олгож, хандалт бүрийг бүртгэнэ.</w:t>
      </w:r>
    </w:p>
    <w:p>
      <w:pPr>
        <w:spacing w:after="120" w:before="0" w:line="276" w:lineRule="auto"/>
        <w:ind w:left="567"/>
        <w:jc w:val="both"/>
      </w:pPr>
      <w:r>
        <w:rPr>
          <w:b w:val="0"/>
          <w:i/>
          <w:sz w:val="22"/>
          <w:rFonts w:ascii="Times New Roman" w:hAnsi="Times New Roman" w:cs="Times New Roman" w:eastAsia="Times New Roman"/>
        </w:rPr>
        <w:t>Тайлбар: Нөөцийг хадгалах биет байршлыг тогтооно. Ашиглалтын сервертэй нэг байранд байрлуулах нь гал, үер, хулгайн үед хоёуланг нь алдахад хүргэнэ. [ТОДОРХОЙЛОХ]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Тав. Нөөцлөлт — Биелэлтийг батлах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5.1. Нөөцлөлт бүрийн үр дүнг бүртгэнэ.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5.2. Бүртгэлд огноо, хэмжээ, үргэлжилсэн хугацаа, амжилттай эсэхийг тусгана.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5.3. Нөөцлөлт амжилтгүй болвол тухайн өдөртөө сэрэмжлүүлэг илгээнэ.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5.4. Дараалан хоёр удаа амжилтгүй болсныг зөрчил гэж үзэж, IT-14 «Мэдээллийн аюулгүй байдлын зөрчлийг шийдвэрлэх журам»-ын дагуу шийдвэрлэнэ.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5.5. Хэлтэс өдөр тутмын үр дүнг ажлын өглөө бүр шалгана.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5.6. Сэрэмжлүүлэг ажиллаж буйг сар тутам шалгана.</w:t>
      </w:r>
    </w:p>
    <w:p>
      <w:pPr>
        <w:spacing w:after="120" w:before="0" w:line="276" w:lineRule="auto"/>
        <w:ind w:left="567"/>
        <w:jc w:val="both"/>
      </w:pPr>
      <w:r>
        <w:rPr>
          <w:b w:val="0"/>
          <w:i/>
          <w:sz w:val="22"/>
          <w:rFonts w:ascii="Times New Roman" w:hAnsi="Times New Roman" w:cs="Times New Roman" w:eastAsia="Times New Roman"/>
        </w:rPr>
        <w:t>Тайлбар: Чимээгүй амжилтгүй болсон нөөцлөлт нь хамгийн аюултай хэлбэр мөн. Сэрэмжлүүлэг ажиллахгүй бол нөөцлөлт зогссоныг хэн ч мэдэхгүй.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Зургаа. Нөөцлөлт — Сэргээх ажиллагаа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6.1. Ашиглалтын орчинд сэргээх шийдвэрийг Хэлтсийн захирал гаргана. Үйлчилгээ зогссон яаралтай тохиолдолд Хэлтсийн ахлах шийдвэрлэж, захиралд тэр даруй мэдэгдэнэ.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6.2. Сэргээхийн өмнө одоогийн төлөв байдлын нөөцийг тусад нь авна.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6.3. Сэргээх нөөцийн бүрэн бүтэн байдлыг шалгана.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6.4. Нөөцийг эхлээд ажлын хуулбарт задалж, агуулгыг шалгасны дараа ашиглалтад шилжүүлнэ.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6.5. Ашиглалтын орчинд шууд бүтнээр сэргээх нь гэмтээгүй өгөгдлийг дарж бичих эрсдэлтэй тул хэсэгчилсэн сэргээлтийг ажлын хуулбараар дамжуулан гүйцэтгэнэ.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6.6. Сэргээсний дараа тохиргоо, нууц утга, гадаад холболтыг шалгана.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6.7. Сэргээлт бүрийг бүртгэж, огноо, шалтгаан, үр дүн, гүйцэтгэсэн ажилтныг тэмдэглэнэ.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Долоо. Нөөцлөлт — Сэргээлтийн туршилт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7.1. Сэргээлтийн туршилтыг сар бүр нэгээс доошгүй удаа гүйцэтгэнэ.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7.2. Туршилтыг ашиглалтаас тусгаарлагдсан орчинд хийнэ.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7.3. Туршилтад мэдээллийн сангийн бүтэн сэргээлт, файл хадгалах сангийн хэсэгчилсэн сэргээлтийг хамруулна.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7.4. Туршилт бүрийн үр дүнг бичгээр баримтжуулна.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7.5. Туршилт амжилтгүй болвол шалтгааныг тогтоож, арилгах хугацааг долоо хоногоор тогтооно.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7.6. Жилд нэгээс доошгүй удаа бүх систем хамарсан бүрэн сэргээлтийн туршилт гүйцэтгэнэ.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Найм. Тасралтгүй ажиллагаа — Эгзэгтэй үйл ажиллагааг тодорхойлох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8.1. Хэлтэс эзэмшигч нэгжтэй хамтран эгзэгтэй үйл ажиллагааны жагсаалтыг гаргана.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8.2. Жагсаалтад үйл ажиллагаа тус бүрд дараах зүйлийг тусгана: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8.2.1. хамаарах мэдээллийн систем;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8.2.2. хамаарах гадаад үйлчилгээ;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8.2.3. зогссон тохиолдолд үүсэх үр дагавар;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8.2.4. хариуцах нэгж.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8.3. Нэг үйл ажиллагаа хэд хэдэн бүрэлдэхүүнээс хамаарах тохиолдолд хамаарлын дарааллыг зураглан харуулна.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8.4. Жагсаалтыг жилд нэгээс доошгүй удаа шинэчилнэ.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Ес. Тасралтгүй ажиллагаа — Сэргээх зорилт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9.1. Эгзэгтэй үйл ажиллагаа тус бүрд сэргээх зорилт, өгөгдөл алдах зорилтыг тогтооно.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9.2. Зорилтыг Гүйцэтгэх захирал батална.</w:t>
      </w:r>
    </w:p>
    <w:p>
      <w:pPr>
        <w:spacing w:after="120" w:before="0" w:line="276" w:lineRule="auto"/>
        <w:ind w:left="567"/>
        <w:jc w:val="both"/>
      </w:pPr>
      <w:r>
        <w:rPr>
          <w:b w:val="0"/>
          <w:i/>
          <w:sz w:val="22"/>
          <w:rFonts w:ascii="Times New Roman" w:hAnsi="Times New Roman" w:cs="Times New Roman" w:eastAsia="Times New Roman"/>
        </w:rPr>
        <w:t>Тайлбар: Хоёр зорилтыг цаг, минутаар илэрхийлж эцэслэн тогтооно. Эдгээр нь техникийн бус, бизнесийн шийдвэр мөн. Тоог тогтоосны дараа л ямар дэд бүтэц шаардлагатайг тооцоолох боломжтой болно. [ТОДОРХОЙЛОХ]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9.3. Тогтоосон зорилтод хүрэх боломжтой эсэхийг Хэлтэс жилд нэгээс доошгүй удаа дүгнэнэ.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9.4. Зорилтод хүрэх боломжгүй бол шаардагдах нөөцийн саналыг Гүйцэтгэх захиралд танилцуулна.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9.5. Эгзэгтэй үйл ажиллагаанд хамаарах бүрэлдэхүүн тус бүрд ганц эвдэрснээр үйлчилгээ зогсох цэг байгаа эсэхийг Хэлтэс тодорхойлно.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9.6. Тогтоосон цэг бүрд давхардуулах, эсхүл гар аргаар шилжих шийдлийг бэлтгэж, түүнийг найм дугаар бүлэгт заасан дасгалаар шалгана.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Арав. Тасралтгүй ажиллагаа — Тасалдлын түвшин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10.1. Тасалдлыг дараах дөрвөн түвшинд ангилна: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10.1.1. нэгдүгээр түвшин — хэрэглэгч үйлчилгээнд огт нэвтэрч чадахгүй;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10.1.2. хоёрдугаар түвшин — нэвтэрнэ, гэвч үндсэн үйлчилгээ ажиллахгүй;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10.1.3. гуравдугаар түвшин — тодорхой нэг үйлдэл ажиллахгүй;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10.1.4. дөрөвдүгээр түвшин — дотоод хэрэгсэл, тайлан ажиллахгүй.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10.2. Түвшнийг тогтоох эрхийг Хэлтсийн ахлахад олгоно. Нэгдүгээр түвшний тасалдлын үед сэргээлтийг Хэлтсийн захирал удирдана.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10.3. Нэгдүгээр болон хоёрдугаар түвшний тасалдлыг Хэлтсийн захирал Гүйцэтгэх захиралд нэн даруй мэдэгдэнэ.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Арван нэг. Тасралтгүй ажиллагаа — Хариу арга хэмжээний баг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11.1. Тасалдлын үед ажиллах багийн бүрэлдэхүүнийг урьдчилан томилно.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11.2. Багт дараах үүргийг хуваарилна: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11.2.1. сэргээлтийг удирдах;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11.2.2. сервер, дэд бүтцийг сэргээх;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11.2.3. мэдээллийн санг сэргээх;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11.2.4. гадаад талтай холбогдох;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11.2.5. хэрэглэгчид мэдээлэх;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11.2.6. удирдлагад тайлагнах.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11.3. Үүрэг бүрд орлон гүйцэтгэгчийг томилно.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11.4. Багийн гишүүдийн холбоо барих мэдээллийг ашиглалтын сервертэй өөр байршилд хадгална.</w:t>
      </w:r>
    </w:p>
    <w:p>
      <w:pPr>
        <w:spacing w:after="120" w:before="0" w:line="276" w:lineRule="auto"/>
        <w:ind w:left="567"/>
        <w:jc w:val="both"/>
      </w:pPr>
      <w:r>
        <w:rPr>
          <w:b w:val="0"/>
          <w:i/>
          <w:sz w:val="22"/>
          <w:rFonts w:ascii="Times New Roman" w:hAnsi="Times New Roman" w:cs="Times New Roman" w:eastAsia="Times New Roman"/>
        </w:rPr>
        <w:t>Тайлбар: Багийн бүрэлдэхүүн, орлон гүйцэтгэгчийг нэрээр тогтооно. Орлон гүйцэтгэгчгүй төлөвлөгөө амралтын өдөр ажиллахгүй. [ТОДОРХОЙЛОХ]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Арван хоёр. Тасралтгүй ажиллагаа — Сэргээх дараалал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12.1. Нэгдүгээр түвшний тасалдлын үед дараах дарааллаар сэргээнэ: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12.1.1. мэдээллийн сан;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12.1.2. файл хадгалах сан;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12.1.3. хэрэглээний сервер;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12.1.4. гадаад холболт;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12.1.5. хэрэглэгчийн эгзэгтэй үйлдлийг шалгах.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12.2. Сэргээх ажиллагааг энэхүү журмын 6.1-6.7-д заасан алхмаар гүйцэтгэнэ.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12.3. Гадаад үйлчилгээ зогссон тохиолдолд авах арга хэмжээг урьдчилан тогтооно.</w:t>
      </w:r>
    </w:p>
    <w:p>
      <w:pPr>
        <w:spacing w:after="120" w:before="0" w:line="276" w:lineRule="auto"/>
        <w:ind w:left="567"/>
        <w:jc w:val="both"/>
      </w:pPr>
      <w:r>
        <w:rPr>
          <w:b w:val="0"/>
          <w:i/>
          <w:sz w:val="22"/>
          <w:rFonts w:ascii="Times New Roman" w:hAnsi="Times New Roman" w:cs="Times New Roman" w:eastAsia="Times New Roman"/>
        </w:rPr>
        <w:t>Тайлбар: Гадаад үйлчилгээ тус бүрд зогссон үед юуг зогсоох, юуг дараалалд оруулах, хэрэглэгчид ямар мэдэгдэл харуулахыг урьдчилан тогтооно. Ослын үед шийдэх нь буруу шийдвэрт хүргэдэг. [ТОДОРХОЙЛОХ]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Арван гурав. Тасралтгүй ажиллагаа — Мэдээлэл түгээх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13.1. Нэгдүгээр түвшний тасалдлын үед хэрэглэгчид мэдэгдэнэ.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13.2. Мэдэгдэх суваг, хугацааг урьдчилан тогтооно.</w:t>
      </w:r>
    </w:p>
    <w:p>
      <w:pPr>
        <w:spacing w:after="120" w:before="0" w:line="276" w:lineRule="auto"/>
        <w:ind w:left="567"/>
        <w:jc w:val="both"/>
      </w:pPr>
      <w:r>
        <w:rPr>
          <w:b w:val="0"/>
          <w:i/>
          <w:sz w:val="22"/>
          <w:rFonts w:ascii="Times New Roman" w:hAnsi="Times New Roman" w:cs="Times New Roman" w:eastAsia="Times New Roman"/>
        </w:rPr>
        <w:t>Тайлбар: Хэрэглэгчид мэдэгдэх сувгийг тогтооно. Уг суваг нь тасалдсан системээс хамааралгүй байх ёстой. [ТОДОРХОЙЛОХ]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13.3. Мэдэгдэлд юу ажиллахгүй байгаа, хэзээ сэргэхийг тусгана.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13.4. Сэргэсний дараа юу болсныг товч тайлбарлан мэдэгдэнэ.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13.5. Дотоод мэдээллийг тасалдлын турш тогтмол шинэчилнэ.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Арван дөрөв. Тасралтгүй ажиллагаа — Дасгал сургуулилт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14.1. Жилд нэгээс доошгүй удаа тасалдлын дасгал сургуулилт зохион байгуулна.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14.2. Дасгалыг ашиглалтаас тусгаарлагдсан орчинд гүйцэтгэнэ.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14.3. Дасгалд нэгдүгээр түвшний тасалдлыг дуурайлган хийнэ.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14.4. Дасгалын явц, хугацаа, илэрсэн дутагдлыг бичгээр баримтжуулна.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14.5. Дасгалын дүнг үндэслэн энэхүү журмыг шинэчилнэ.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14.6. Дасгал хийгээгүй төлөвлөгөөг ажиллана гэж үзэхийг хориглоно.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Арван тав. Хяналт, хянан шинэчлэх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15.1. Энэхүү журмын хэрэгжилтэд Хэлтэс хяналт тавина.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15.2. Энэхүү журмыг жилд нэгээс доошгүй удаа хянан шинэчилнэ.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15.3. Энэхүү журам Гүйцэтгэх захирлын тушаалаар батлагдсан өдрөөс эхлэн хүчин төгөлдөр болно.</w:t>
      </w:r>
    </w:p>
    <w:p>
      <w:pPr>
        <w:spacing w:after="200" w:before="0" w:line="276" w:lineRule="auto"/>
        <w:jc w:val="both"/>
      </w:pPr>
    </w:p>
    <w:p>
      <w:pPr>
        <w:keepNext/>
        <w:spacing w:after="0" w:before="0" w:line="240" w:lineRule="auto"/>
        <w:jc w:val="center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--- о0о ---</w:t>
      </w:r>
    </w:p>
    <w:p>
      <w:pPr>
        <w:keepNext/>
        <w:spacing w:after="320" w:before="0" w:line="276" w:lineRule="auto"/>
        <w:jc w:val="both"/>
      </w:pPr>
    </w:p>
    <w:p>
      <w:pPr>
        <w:keepNext/>
        <w:tabs>
          <w:tab w:pos="5102" w:val="left"/>
        </w:tabs>
        <w:spacing w:after="40" w:before="0" w:line="240" w:lineRule="auto"/>
        <w:jc w:val="both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 xml:space="preserve">Боловсруулсан: </w:t>
      </w:r>
      <w:r>
        <w:rPr>
          <w:b w:val="0"/>
          <w:i w:val="0"/>
          <w:sz w:val="22"/>
          <w:rFonts w:ascii="Times New Roman" w:hAnsi="Times New Roman" w:cs="Times New Roman" w:eastAsia="Times New Roman"/>
        </w:rPr>
        <w:t>……………………………</w:t>
      </w:r>
      <w:r>
        <w:rPr>
          <w:b w:val="0"/>
          <w:i w:val="0"/>
          <w:sz w:val="22"/>
          <w:rFonts w:ascii="Times New Roman" w:hAnsi="Times New Roman" w:cs="Times New Roman" w:eastAsia="Times New Roman"/>
        </w:rPr>
        <w:tab/>
        <w:t>/Инноваци технологийн хэлтсийн ахлах/</w:t>
      </w:r>
    </w:p>
    <w:p>
      <w:pPr>
        <w:keepNext/>
        <w:tabs>
          <w:tab w:pos="5102" w:val="left"/>
        </w:tabs>
        <w:spacing w:after="40" w:before="0" w:line="240" w:lineRule="auto"/>
        <w:jc w:val="both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 xml:space="preserve">Хянан баталгаажуулсан: </w:t>
      </w:r>
      <w:r>
        <w:rPr>
          <w:b w:val="0"/>
          <w:i w:val="0"/>
          <w:sz w:val="22"/>
          <w:rFonts w:ascii="Times New Roman" w:hAnsi="Times New Roman" w:cs="Times New Roman" w:eastAsia="Times New Roman"/>
        </w:rPr>
        <w:t>……………………………</w:t>
      </w:r>
      <w:r>
        <w:rPr>
          <w:b w:val="0"/>
          <w:i w:val="0"/>
          <w:sz w:val="22"/>
          <w:rFonts w:ascii="Times New Roman" w:hAnsi="Times New Roman" w:cs="Times New Roman" w:eastAsia="Times New Roman"/>
        </w:rPr>
        <w:tab/>
        <w:t>/Инноваци технологийн хэлтсийн захирал/</w:t>
      </w:r>
    </w:p>
    <w:p>
      <w:pPr>
        <w:keepNext/>
        <w:spacing w:after="280" w:before="0" w:line="276" w:lineRule="auto"/>
        <w:jc w:val="both"/>
      </w:pPr>
    </w:p>
    <w:p>
      <w:pPr>
        <w:keepNext/>
        <w:spacing w:after="120" w:before="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Хувилбарын түүх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cantSplit/>
        </w:trPr>
        <w:tc>
          <w:tcPr>
            <w:tcW w:type="dxa" w:w="1134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/>
                <w:i w:val="0"/>
                <w:sz w:val="18"/>
                <w:rFonts w:ascii="Times New Roman" w:hAnsi="Times New Roman" w:cs="Times New Roman" w:eastAsia="Times New Roman"/>
              </w:rPr>
              <w:t>Хувилбар</w:t>
            </w:r>
          </w:p>
        </w:tc>
        <w:tc>
          <w:tcPr>
            <w:tcW w:type="dxa" w:w="1361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/>
                <w:i w:val="0"/>
                <w:sz w:val="18"/>
                <w:rFonts w:ascii="Times New Roman" w:hAnsi="Times New Roman" w:cs="Times New Roman" w:eastAsia="Times New Roman"/>
              </w:rPr>
              <w:t>Огноо</w:t>
            </w:r>
          </w:p>
        </w:tc>
        <w:tc>
          <w:tcPr>
            <w:tcW w:type="dxa" w:w="3402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/>
                <w:i w:val="0"/>
                <w:sz w:val="18"/>
                <w:rFonts w:ascii="Times New Roman" w:hAnsi="Times New Roman" w:cs="Times New Roman" w:eastAsia="Times New Roman"/>
              </w:rPr>
              <w:t>Өөрчлөлтийн товч агуулга</w:t>
            </w:r>
          </w:p>
        </w:tc>
        <w:tc>
          <w:tcPr>
            <w:tcW w:type="dxa" w:w="1474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/>
                <w:i w:val="0"/>
                <w:sz w:val="18"/>
                <w:rFonts w:ascii="Times New Roman" w:hAnsi="Times New Roman" w:cs="Times New Roman" w:eastAsia="Times New Roman"/>
              </w:rPr>
              <w:t>Боловсруулсан</w:t>
            </w:r>
          </w:p>
        </w:tc>
        <w:tc>
          <w:tcPr>
            <w:tcW w:type="dxa" w:w="1417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/>
                <w:i w:val="0"/>
                <w:sz w:val="18"/>
                <w:rFonts w:ascii="Times New Roman" w:hAnsi="Times New Roman" w:cs="Times New Roman" w:eastAsia="Times New Roman"/>
              </w:rPr>
              <w:t>Баталсан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  <w:t>1.0</w:t>
            </w:r>
          </w:p>
        </w:tc>
        <w:tc>
          <w:tcPr>
            <w:tcW w:type="dxa" w:w="1361"/>
          </w:tcPr>
          <w:p>
            <w:pPr>
              <w:keepNext/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3402"/>
          </w:tcPr>
          <w:p>
            <w:pPr>
              <w:keepNext/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  <w:t>Анхны хувилбар</w:t>
            </w:r>
          </w:p>
        </w:tc>
        <w:tc>
          <w:tcPr>
            <w:tcW w:type="dxa" w:w="1474"/>
          </w:tcPr>
          <w:p>
            <w:pPr>
              <w:keepNext/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1417"/>
          </w:tcPr>
          <w:p>
            <w:pPr>
              <w:keepNext/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1361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340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1474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1417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/>
        <w:sz w:val="18"/>
        <w:rFonts w:ascii="Times New Roman" w:hAnsi="Times New Roman" w:cs="Times New Roman" w:eastAsia="Times New Roman"/>
      </w:rPr>
      <w:t xml:space="preserve">IT-12 · «Агула Даатгал» ХХК · Инноваци технологийн хэлтэс · </w:t>
    </w:r>
    <w:fldSimple w:instr=" PAGE ">
      <w:r>
        <w:t>1</w:t>
      </w:r>
    </w:fldSimple>
    <w:r>
      <w:rPr>
        <w:b w:val="0"/>
        <w:i/>
        <w:sz w:val="18"/>
        <w:rFonts w:ascii="Times New Roman" w:hAnsi="Times New Roman" w:cs="Times New Roman" w:eastAsia="Times New Roman"/>
      </w:rPr>
      <w:t xml:space="preserve"> / </w:t>
    </w:r>
    <w:fldSimple w:instr=" NUMPAGES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n-MN" w:eastAsia="mn-M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mn-MN" w:eastAsia="mn-M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Нөөцлөлт, тасралтгүй ажиллагааны журам</dc:title>
  <dc:subject>IT-12 · Инноваци технологийн хэлтэс</dc:subject>
  <dc:creator>«Агула Даатгал» ХХК</dc:creator>
  <cp:keywords/>
  <dc:description/>
  <cp:lastModifiedBy>Инноваци технологийн хэлтэс</cp:lastModifiedBy>
  <cp:revision>1</cp:revision>
  <dcterms:created xsi:type="dcterms:W3CDTF">2013-12-23T23:15:00Z</dcterms:created>
  <dcterms:modified xsi:type="dcterms:W3CDTF">2013-12-23T23:15:00Z</dcterms:modified>
  <cp:category>Журам</cp:category>
</cp:coreProperties>
</file>