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"/>
        <w:keepNext/>
        <w:spacing w:before="0" w:after="0" w:line="240" w:lineRule="auto"/>
        <w:jc w:val="center"/>
      </w:pPr>
      <w:r>
        <w:rPr>
          <w:rFonts w:ascii="Times New Roman" w:hAnsi="Times New Roman"/>
          <w:b/>
          <w:sz w:val="24"/>
        </w:rPr>
        <w:t>A Multi-RF-Head Receiver Array for AI-Native Integrated Sensing and Communications</w:t>
      </w:r>
    </w:p>
    <w:p>
      <w:pPr>
        <w:spacing w:after="0" w:line="240" w:lineRule="auto"/>
      </w:pPr>
      <w:r>
        <w:rPr>
          <w:rFonts w:ascii="Times New Roman" w:hAnsi="Times New Roman"/>
          <w:sz w:val="22"/>
        </w:rPr>
      </w:r>
    </w:p>
    <w:p>
      <w:pPr>
        <w:pStyle w:val="Author"/>
        <w:spacing w:before="0" w:after="120" w:line="240" w:lineRule="auto"/>
        <w:jc w:val="center"/>
      </w:pPr>
      <w:r>
        <w:rPr>
          <w:rFonts w:ascii="Times New Roman" w:hAnsi="Times New Roman"/>
          <w:b w:val="0"/>
          <w:sz w:val="22"/>
        </w:rPr>
        <w:t>D. M. B. P. Anuradha, W. A. A. P. Weragoda, R. P. D. D. H. Ranaweera, and P. I. U. Peiris</w:t>
      </w:r>
    </w:p>
    <w:p>
      <w:pPr>
        <w:pStyle w:val="Author"/>
        <w:spacing w:before="0" w:after="0" w:line="240" w:lineRule="auto"/>
        <w:jc w:val="center"/>
      </w:pPr>
      <w:r>
        <w:rPr>
          <w:rFonts w:ascii="Times New Roman" w:hAnsi="Times New Roman"/>
          <w:b w:val="0"/>
          <w:sz w:val="22"/>
        </w:rPr>
        <w:t>Department of Electronic and Telecommunication Engineering, University of Moratuwa, Sri Lanka</w:t>
      </w:r>
    </w:p>
    <w:p>
      <w:pPr>
        <w:pStyle w:val="Author"/>
        <w:spacing w:before="0" w:after="220" w:line="240" w:lineRule="auto"/>
        <w:jc w:val="center"/>
      </w:pPr>
      <w:r>
        <w:rPr>
          <w:rFonts w:ascii="Times New Roman" w:hAnsi="Times New Roman"/>
          <w:b w:val="0"/>
          <w:sz w:val="22"/>
        </w:rPr>
        <w:t>Supervisors: Prof. Arjuna Madanayake and Dr. Chamira U. S. Edussooriya</w:t>
      </w:r>
    </w:p>
    <w:p>
      <w:pPr>
        <w:pStyle w:val="BodyText"/>
        <w:spacing w:line="240" w:lineRule="auto" w:before="0" w:after="140"/>
        <w:ind w:firstLine="0"/>
        <w:jc w:val="both"/>
      </w:pPr>
      <w:r>
        <w:rPr>
          <w:rFonts w:ascii="Times New Roman" w:hAnsi="Times New Roman"/>
          <w:sz w:val="22"/>
        </w:rPr>
        <w:t>Emerging wireless platforms increasingly require the same radio infrastructure to support high-data-rate communications, environmental sensing, spectrum monitoring, localization, and target classification. Conventional implementations commonly use separate RF front ends for these functions, increasing hardware duplication and limiting cross-band experimentation. This project proposes a modular multi-RF-head receiver array for integrated sensing and communications (ISAC), with a common, software-configurable processing platform that can be adapted to communication, radar, and spectrum-intelligence experiments.</w:t>
      </w:r>
    </w:p>
    <w:p>
      <w:pPr>
        <w:pStyle w:val="BodyText"/>
        <w:spacing w:line="240" w:lineRule="auto" w:before="0" w:after="140"/>
        <w:ind w:firstLine="0"/>
        <w:jc w:val="both"/>
      </w:pPr>
      <w:r>
        <w:rPr>
          <w:rFonts w:ascii="Times New Roman" w:hAnsi="Times New Roman"/>
          <w:sz w:val="22"/>
        </w:rPr>
        <w:t>The proposed hardware covers approximately 0.8-8 GHz through four band-oriented RF heads: 0.8-1.6 GHz, 1-3 GHz, 2-8 GHz, and 5.7-6.0 GHz. Broadband Vivaldi arrays are considered for the wideband heads, while a 16-element microstrip patch array is investigated near 5.8 GHz to provide the directive gain and spatial selectivity required for unmanned-aerial-vehicle sensing. Each head combines input protection, low-noise amplification, RF switching, tunable or band-select filtering, low-phase-noise frequency conversion, and programmable gain. The design targets a receiver noise figure below 2 dB and an instantaneous bandwidth of up to 400 MHz, with synchronized intermediate-frequency or baseband outputs connected to high-speed data conversion and embedded control through USB or Ethernet.</w:t>
      </w:r>
    </w:p>
    <w:p>
      <w:pPr>
        <w:pStyle w:val="BodyText"/>
        <w:spacing w:line="240" w:lineRule="auto" w:before="0" w:after="140"/>
        <w:ind w:firstLine="0"/>
        <w:jc w:val="both"/>
      </w:pPr>
      <w:r>
        <w:rPr>
          <w:rFonts w:ascii="Times New Roman" w:hAnsi="Times New Roman"/>
          <w:sz w:val="22"/>
        </w:rPr>
        <w:t>The digital processing chain will support conventional communication waveforms together with orthogonal time frequency space (OTFS) modulation for delay-Doppler-domain ISAC. Beamforming and range-Doppler processing will be used to estimate range, radial velocity, direction of arrival, and micro-Doppler signatures, while data-driven models will be investigated for drone detection and classification. Communication performance will be assessed using signal-to-noise ratio, error vector magnitude, bit-error rate, and throughput. Sensing performance will be assessed using probability of detection, probability of false alarm, range/velocity/angle resolution and accuracy, update rate, and robustness to clutter. Antenna and array measurements will include impedance bandwidth, realized gain, radiation efficiency, beamwidth, sidelobe level, grating-lobe behavior, and inter-element isolation.</w:t>
      </w:r>
    </w:p>
    <w:p>
      <w:pPr>
        <w:pStyle w:val="BodyText"/>
        <w:spacing w:line="240" w:lineRule="auto" w:before="0" w:after="140"/>
        <w:ind w:firstLine="0"/>
        <w:jc w:val="both"/>
      </w:pPr>
      <w:r>
        <w:rPr>
          <w:rFonts w:ascii="Times New Roman" w:hAnsi="Times New Roman"/>
          <w:sz w:val="22"/>
        </w:rPr>
        <w:t>Validation will proceed from RF cascade and link-budget analysis to circuit and full-wave simulation, PCB implementation, and laboratory measurements using a vector network analyzer, calibrated signal sources, spectrum and noise-figure measurements, and controlled communication and sensing targets. The expected outcome is a reconfigurable experimental receiver that consolidates multi-band RF acquisition, array processing, OTFS-based sensing, and AI-assisted inference in one platform. It will provide a practical testbed for studying the trade-offs among coverage, sensitivity, angular resolution, waveform design, and implementation complexity in future ISAC systems.</w:t>
      </w:r>
    </w:p>
    <w:p>
      <w:pPr>
        <w:pStyle w:val="BodyText"/>
        <w:spacing w:line="240" w:lineRule="auto" w:before="0" w:after="0"/>
        <w:jc w:val="both"/>
      </w:pPr>
      <w:r>
        <w:rPr>
          <w:rFonts w:ascii="Times New Roman" w:hAnsi="Times New Roman"/>
          <w:b/>
          <w:sz w:val="22"/>
        </w:rPr>
        <w:t xml:space="preserve">Keywords - </w:t>
      </w:r>
      <w:r>
        <w:rPr>
          <w:rFonts w:ascii="Times New Roman" w:hAnsi="Times New Roman"/>
          <w:i/>
          <w:sz w:val="22"/>
        </w:rPr>
        <w:t>Integrated sensing and communications, multi-band receiver, RF front end, antenna array, OTFS, micro-Doppler, UAV detection.</w:t>
      </w:r>
    </w:p>
    <w:sectPr w:rsidR="009D5C0E" w:rsidSect="00BF5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D405D2"/>
    <w:multiLevelType w:val="hybridMultilevel"/>
    <w:tmpl w:val="4AC8323E"/>
    <w:lvl w:ilvl="0" w:tplc="8AB00D52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defaultTabStop w:val="720"/>
  <w:doNotHyphenateCaps/>
  <w:characterSpacingControl w:val="doNotCompress"/>
  <w:doNotValidateAgainstSchema/>
  <w:doNotDemarcateInvalidXml/>
  <w:compat/>
  <w:rsids>
    <w:rsidRoot w:val="00BF56FC"/>
    <w:rsid w:val="000262D6"/>
    <w:rsid w:val="00060474"/>
    <w:rsid w:val="00060CC5"/>
    <w:rsid w:val="00070115"/>
    <w:rsid w:val="00090ECD"/>
    <w:rsid w:val="000F345B"/>
    <w:rsid w:val="000F379C"/>
    <w:rsid w:val="00101B03"/>
    <w:rsid w:val="00101CF5"/>
    <w:rsid w:val="0013069B"/>
    <w:rsid w:val="001706C1"/>
    <w:rsid w:val="00190FC3"/>
    <w:rsid w:val="001C26AE"/>
    <w:rsid w:val="001E7D29"/>
    <w:rsid w:val="00245630"/>
    <w:rsid w:val="00262AEE"/>
    <w:rsid w:val="002A530A"/>
    <w:rsid w:val="002C34F6"/>
    <w:rsid w:val="003A53FF"/>
    <w:rsid w:val="003C5A79"/>
    <w:rsid w:val="00453116"/>
    <w:rsid w:val="004D006B"/>
    <w:rsid w:val="004D10D6"/>
    <w:rsid w:val="005156C2"/>
    <w:rsid w:val="005B29A4"/>
    <w:rsid w:val="005B701C"/>
    <w:rsid w:val="005F4EA8"/>
    <w:rsid w:val="00685C70"/>
    <w:rsid w:val="006B6323"/>
    <w:rsid w:val="00705485"/>
    <w:rsid w:val="007A6282"/>
    <w:rsid w:val="007C3A2B"/>
    <w:rsid w:val="007D2775"/>
    <w:rsid w:val="007E16C7"/>
    <w:rsid w:val="008220F2"/>
    <w:rsid w:val="00841C43"/>
    <w:rsid w:val="0085573F"/>
    <w:rsid w:val="0088019A"/>
    <w:rsid w:val="008C37C6"/>
    <w:rsid w:val="009139DC"/>
    <w:rsid w:val="009274AF"/>
    <w:rsid w:val="00951E80"/>
    <w:rsid w:val="00953A19"/>
    <w:rsid w:val="009A4265"/>
    <w:rsid w:val="009B77A9"/>
    <w:rsid w:val="009D39DB"/>
    <w:rsid w:val="009D57E1"/>
    <w:rsid w:val="009D5C0E"/>
    <w:rsid w:val="009D5D1F"/>
    <w:rsid w:val="00B168FC"/>
    <w:rsid w:val="00B449AC"/>
    <w:rsid w:val="00BF56FC"/>
    <w:rsid w:val="00C42D3E"/>
    <w:rsid w:val="00C51794"/>
    <w:rsid w:val="00D1405F"/>
    <w:rsid w:val="00D53078"/>
    <w:rsid w:val="00D555EF"/>
    <w:rsid w:val="00D82E38"/>
    <w:rsid w:val="00DB0DB9"/>
    <w:rsid w:val="00DC674B"/>
    <w:rsid w:val="00E5087F"/>
    <w:rsid w:val="00EC1E9B"/>
    <w:rsid w:val="00F87FCD"/>
    <w:rsid w:val="00FE72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uiPriority="9" w:qFormat="1"/>
    <w:lsdException w:name="heading 4" w:semiHidden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nhideWhenUsed="0" w:qFormat="1"/>
    <w:lsdException w:name="Title" w:semiHidden="0" w:unhideWhenUsed="0" w:qFormat="1"/>
    <w:lsdException w:name="Default Paragraph Font" w:unhideWhenUsed="0"/>
    <w:lsdException w:name="Body Text" w:uiPriority="0" w:unhideWhenUsed="0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CF5"/>
    <w:rPr>
      <w:rFonts w:ascii="Times New Roman" w:hAnsi="Times New Roman"/>
      <w:sz w:val="24"/>
      <w:szCs w:val="24"/>
    </w:rPr>
  </w:style>
  <w:style w:type="paragraph" w:styleId="Heading1">
    <w:name w:val="heading 1"/>
    <w:aliases w:val="HeadingApp"/>
    <w:basedOn w:val="Normal"/>
    <w:link w:val="Heading1Char"/>
    <w:uiPriority w:val="99"/>
    <w:qFormat/>
    <w:rsid w:val="00101CF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01CF5"/>
    <w:pPr>
      <w:keepNext/>
      <w:jc w:val="center"/>
      <w:outlineLvl w:val="1"/>
    </w:pPr>
    <w:rPr>
      <w:b/>
      <w:bCs/>
    </w:rPr>
  </w:style>
  <w:style w:type="paragraph" w:styleId="Heading4">
    <w:name w:val="heading 4"/>
    <w:basedOn w:val="Normal"/>
    <w:link w:val="Heading4Char"/>
    <w:uiPriority w:val="99"/>
    <w:qFormat/>
    <w:rsid w:val="00101CF5"/>
    <w:pPr>
      <w:spacing w:before="100" w:beforeAutospacing="1" w:after="100" w:afterAutospacing="1"/>
      <w:outlineLvl w:val="3"/>
    </w:pPr>
    <w:rPr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App Char"/>
    <w:basedOn w:val="DefaultParagraphFont"/>
    <w:link w:val="Heading1"/>
    <w:uiPriority w:val="9"/>
    <w:rsid w:val="00BF56FC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6FC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6FC"/>
    <w:rPr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99"/>
    <w:qFormat/>
    <w:rsid w:val="00101CF5"/>
    <w:pPr>
      <w:autoSpaceDE w:val="0"/>
      <w:autoSpaceDN w:val="0"/>
      <w:jc w:val="center"/>
    </w:pPr>
    <w:rPr>
      <w:b/>
      <w:bCs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BF56FC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rsid w:val="00101CF5"/>
    <w:pPr>
      <w:jc w:val="both"/>
    </w:pPr>
  </w:style>
  <w:style w:type="character" w:customStyle="1" w:styleId="BodyTextChar">
    <w:name w:val="Body Text Char"/>
    <w:basedOn w:val="DefaultParagraphFont"/>
    <w:link w:val="BodyText"/>
    <w:rsid w:val="00BF56FC"/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101CF5"/>
    <w:rPr>
      <w:color w:val="auto"/>
      <w:u w:val="single"/>
    </w:rPr>
  </w:style>
  <w:style w:type="paragraph" w:styleId="NormalWeb">
    <w:name w:val="Normal (Web)"/>
    <w:basedOn w:val="Normal"/>
    <w:uiPriority w:val="99"/>
    <w:rsid w:val="00101CF5"/>
    <w:pPr>
      <w:spacing w:before="100" w:beforeAutospacing="1" w:after="100" w:afterAutospacing="1"/>
    </w:pPr>
    <w:rPr>
      <w:color w:val="000000"/>
    </w:rPr>
  </w:style>
  <w:style w:type="paragraph" w:styleId="Caption">
    <w:name w:val="caption"/>
    <w:basedOn w:val="Normal"/>
    <w:next w:val="Normal"/>
    <w:uiPriority w:val="99"/>
    <w:qFormat/>
    <w:rsid w:val="00101CF5"/>
    <w:pPr>
      <w:spacing w:before="120" w:after="120"/>
    </w:pPr>
    <w:rPr>
      <w:b/>
      <w:bCs/>
      <w:sz w:val="20"/>
      <w:szCs w:val="20"/>
    </w:rPr>
  </w:style>
  <w:style w:type="paragraph" w:customStyle="1" w:styleId="Author">
    <w:name w:val="Author"/>
    <w:basedOn w:val="Normal"/>
    <w:uiPriority w:val="99"/>
    <w:rsid w:val="00101CF5"/>
    <w:pPr>
      <w:jc w:val="center"/>
    </w:pPr>
  </w:style>
  <w:style w:type="paragraph" w:styleId="BalloonText">
    <w:name w:val="Balloon Text"/>
    <w:basedOn w:val="Normal"/>
    <w:link w:val="BalloonTextChar"/>
    <w:uiPriority w:val="99"/>
    <w:rsid w:val="00101C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01CF5"/>
    <w:rPr>
      <w:rFonts w:ascii="Tahoma" w:hAnsi="Tahoma" w:cs="Tahoma"/>
      <w:sz w:val="16"/>
      <w:szCs w:val="16"/>
    </w:rPr>
  </w:style>
  <w:style w:type="character" w:customStyle="1" w:styleId="accordion-tabbedtab-mobile">
    <w:name w:val="accordion-tabbed__tab-mobile"/>
    <w:uiPriority w:val="99"/>
    <w:rsid w:val="00101CF5"/>
  </w:style>
  <w:style w:type="character" w:customStyle="1" w:styleId="comma-separator">
    <w:name w:val="comma-separator"/>
    <w:uiPriority w:val="99"/>
    <w:rsid w:val="00101CF5"/>
  </w:style>
  <w:style w:type="paragraph" w:customStyle="1" w:styleId="MTDisplayEquation">
    <w:name w:val="MTDisplayEquation"/>
    <w:basedOn w:val="BodyText"/>
    <w:next w:val="Normal"/>
    <w:link w:val="MTDisplayEquationChar"/>
    <w:rsid w:val="000F345B"/>
    <w:pPr>
      <w:tabs>
        <w:tab w:val="center" w:pos="4680"/>
        <w:tab w:val="right" w:pos="9360"/>
      </w:tabs>
    </w:pPr>
  </w:style>
  <w:style w:type="character" w:customStyle="1" w:styleId="MTDisplayEquationChar">
    <w:name w:val="MTDisplayEquation Char"/>
    <w:basedOn w:val="BodyTextChar"/>
    <w:link w:val="MTDisplayEquation"/>
    <w:rsid w:val="000F345B"/>
    <w:rPr>
      <w:rFonts w:ascii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3C5A79"/>
    <w:rPr>
      <w:rFonts w:ascii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for USNC-URSI NRSM</vt:lpstr>
    </vt:vector>
  </TitlesOfParts>
  <Company>ARL</Company>
  <LinksUpToDate>false</LinksUpToDate>
  <CharactersWithSpaces>3050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Multi-RF-Head Receiver Array for AI-Native Integrated Sensing and Communications</dc:title>
  <dc:creator>D. M. B. P. Anuradha, W. A. A. P. Weragoda, R. P. D. D. H. Ranaweera, and P. I. U. Peiris</dc:creator>
  <cp:lastModifiedBy>Anonymous</cp:lastModifiedBy>
  <cp:revision>9</cp:revision>
  <cp:lastPrinted>2011-10-13T13:46:00Z</cp:lastPrinted>
  <dcterms:created xsi:type="dcterms:W3CDTF">2022-01-02T00:33:00Z</dcterms:created>
  <dcterms:modified xsi:type="dcterms:W3CDTF">2022-01-03T01:27:00Z</dcterms:modified>
  <dc:subject>One-page abstract for the Group 20 final-year project</dc:subject>
  <cp:keywords>ISAC, RF receiver, OTFS, antenna array, UAV sensing</cp:keywords>
</cp:coreProperties>
</file>