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s="Times New Roman" w:eastAsia="Times New Roman"/>
        </w:rPr>
        <w:t>7 COMMERCIALISATION SUSTAINABILITY AND RESPONSIBLE INNOVATION</w:t>
      </w:r>
    </w:p>
    <w:p>
      <w:pPr>
        <w:pStyle w:val="Heading2"/>
      </w:pPr>
      <w:r>
        <w:rPr>
          <w:rFonts w:ascii="Times New Roman" w:hAnsi="Times New Roman" w:cs="Times New Roman" w:eastAsia="Times New Roman"/>
        </w:rPr>
        <w:t>7.1 Value proposition and beneficiaries</w:t>
      </w:r>
    </w:p>
    <w:p>
      <w:pPr>
        <w:jc w:val="both"/>
      </w:pPr>
      <w:r>
        <w:rPr>
          <w:rFonts w:ascii="Times New Roman" w:hAnsi="Times New Roman" w:cs="Times New Roman" w:eastAsia="Times New Roman"/>
        </w:rPr>
        <w:t>The commercial case for AutoForge rests on one idea: teams that build software with AI need to be able to trust and audit what the AI produced before it ships. Most AI development tools compete on how quickly they produce a finished result. AutoForge competes on how much of the process a team can see and control, and on evidence that this control improves the result.</w:t>
      </w:r>
    </w:p>
    <w:p>
      <w:pPr>
        <w:jc w:val="both"/>
      </w:pPr>
      <w:r>
        <w:rPr>
          <w:rFonts w:ascii="Times New Roman" w:hAnsi="Times New Roman" w:cs="Times New Roman" w:eastAsia="Times New Roman"/>
        </w:rPr>
        <w:t>There is clear evidence that this need is real. In the 2025 Stack Overflow Developer Survey, 84% of developers said they use or plan to use AI tools, but only 32.7% trusted the accuracy of the output, while 45.7% distrusted it. The most common frustration, named by 66% of respondents, was AI output that is "almost right, but not quite" [23]. Developers are adopting AI faster than they are learning to trust it. A pipeline that shows every intermediate decision, and lets a person correct it before it travels further, is aimed directly at that gap.</w:t>
      </w:r>
    </w:p>
    <w:p>
      <w:pPr>
        <w:jc w:val="both"/>
      </w:pPr>
      <w:r>
        <w:rPr>
          <w:rFonts w:ascii="Times New Roman" w:hAnsi="Times New Roman" w:cs="Times New Roman" w:eastAsia="Times New Roman"/>
        </w:rPr>
        <w:t>Our own evaluation gives a buyer measured evidence rather than a promise. With the human gates switched on, escaped defects fell from five to one and the QA pass rate rose from 78% to 91%, for 36 minutes of review effort (Table 6.8). Retrieval-based enrichment reduced missing requirements from seven to two (Table 6.5), the Security Agent reached 87.5% precision and 77.8% recall on injected vulnerabilities (Table 6.6), and every controlled interruption resumed at the correct stage (Table 6.9). Table 7.1 shows how this value reaches each group of beneficiaries.</w:t>
      </w:r>
    </w:p>
    <w:p>
      <w:pPr>
        <w:pStyle w:val="Caption"/>
        <w:keepNext/>
        <w:jc w:val="center"/>
      </w:pPr>
      <w:r>
        <w:rPr>
          <w:rFonts w:ascii="Times New Roman" w:hAnsi="Times New Roman" w:cs="Times New Roman" w:eastAsia="Times New Roman"/>
        </w:rPr>
        <w:t>Table 7.1: Value created for each beneficiary</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2055"/>
        <w:gridCol w:w="2055"/>
        <w:gridCol w:w="2055"/>
        <w:gridCol w:w="2055"/>
      </w:tblGrid>
      <w:tr>
        <w:trPr>
          <w:tblHeader w:val="true"/>
          <w:cantSplit w:val="true"/>
        </w:trPr>
        <w:tc>
          <w:tcPr>
            <w:tcW w:type="dxa" w:w="1701"/>
            <w:shd w:val="clear" w:color="auto" w:fill="D9D9D9"/>
            <w:tcW w:w="1701" w:type="dxa"/>
          </w:tcPr>
          <w:p>
            <w:pPr>
              <w:spacing w:line="240" w:lineRule="auto" w:after="0"/>
            </w:pPr>
            <w:r/>
            <w:r>
              <w:rPr>
                <w:rFonts w:ascii="Times New Roman" w:hAnsi="Times New Roman" w:cs="Times New Roman" w:eastAsia="Times New Roman"/>
                <w:b/>
                <w:sz w:val="20"/>
              </w:rPr>
              <w:t>Beneficiary</w:t>
            </w:r>
          </w:p>
        </w:tc>
        <w:tc>
          <w:tcPr>
            <w:tcW w:type="dxa" w:w="2098"/>
            <w:shd w:val="clear" w:color="auto" w:fill="D9D9D9"/>
            <w:tcW w:w="2097" w:type="dxa"/>
          </w:tcPr>
          <w:p>
            <w:pPr>
              <w:spacing w:line="240" w:lineRule="auto" w:after="0"/>
            </w:pPr>
            <w:r/>
            <w:r>
              <w:rPr>
                <w:rFonts w:ascii="Times New Roman" w:hAnsi="Times New Roman" w:cs="Times New Roman" w:eastAsia="Times New Roman"/>
                <w:b/>
                <w:sz w:val="20"/>
              </w:rPr>
              <w:t>Need</w:t>
            </w:r>
          </w:p>
        </w:tc>
        <w:tc>
          <w:tcPr>
            <w:tcW w:type="dxa" w:w="2438"/>
            <w:shd w:val="clear" w:color="auto" w:fill="D9D9D9"/>
            <w:tcW w:w="2438" w:type="dxa"/>
          </w:tcPr>
          <w:p>
            <w:pPr>
              <w:spacing w:line="240" w:lineRule="auto" w:after="0"/>
            </w:pPr>
            <w:r/>
            <w:r>
              <w:rPr>
                <w:rFonts w:ascii="Times New Roman" w:hAnsi="Times New Roman" w:cs="Times New Roman" w:eastAsia="Times New Roman"/>
                <w:b/>
                <w:sz w:val="20"/>
              </w:rPr>
              <w:t>What AutoForge provides</w:t>
            </w:r>
          </w:p>
        </w:tc>
        <w:tc>
          <w:tcPr>
            <w:tcW w:type="dxa" w:w="1984"/>
            <w:shd w:val="clear" w:color="auto" w:fill="D9D9D9"/>
            <w:tcW w:w="1984" w:type="dxa"/>
          </w:tcPr>
          <w:p>
            <w:pPr>
              <w:spacing w:line="240" w:lineRule="auto" w:after="0"/>
            </w:pPr>
            <w:r/>
            <w:r>
              <w:rPr>
                <w:rFonts w:ascii="Times New Roman" w:hAnsi="Times New Roman" w:cs="Times New Roman" w:eastAsia="Times New Roman"/>
                <w:b/>
                <w:sz w:val="20"/>
              </w:rPr>
              <w:t>Supporting evidence</w:t>
            </w:r>
          </w:p>
        </w:tc>
      </w:tr>
      <w:tr>
        <w:trPr>
          <w:cantSplit w:val="true"/>
        </w:trPr>
        <w:tc>
          <w:tcPr>
            <w:tcW w:type="dxa" w:w="1701"/>
            <w:tcW w:w="1701" w:type="dxa"/>
          </w:tcPr>
          <w:p>
            <w:pPr>
              <w:spacing w:line="240" w:lineRule="auto" w:after="0"/>
            </w:pPr>
            <w:r/>
            <w:r>
              <w:rPr>
                <w:rFonts w:ascii="Times New Roman" w:hAnsi="Times New Roman" w:cs="Times New Roman" w:eastAsia="Times New Roman"/>
                <w:sz w:val="20"/>
              </w:rPr>
              <w:t>Small development teams and agencies</w:t>
            </w:r>
          </w:p>
        </w:tc>
        <w:tc>
          <w:tcPr>
            <w:tcW w:type="dxa" w:w="2098"/>
            <w:tcW w:w="2097" w:type="dxa"/>
          </w:tcPr>
          <w:p>
            <w:pPr>
              <w:spacing w:line="240" w:lineRule="auto" w:after="0"/>
            </w:pPr>
            <w:r/>
            <w:r>
              <w:rPr>
                <w:rFonts w:ascii="Times New Roman" w:hAnsi="Times New Roman" w:cs="Times New Roman" w:eastAsia="Times New Roman"/>
                <w:sz w:val="20"/>
              </w:rPr>
              <w:t>Deliver client features faster without losing control or quality</w:t>
            </w:r>
          </w:p>
        </w:tc>
        <w:tc>
          <w:tcPr>
            <w:tcW w:type="dxa" w:w="2438"/>
            <w:tcW w:w="2438" w:type="dxa"/>
          </w:tcPr>
          <w:p>
            <w:pPr>
              <w:spacing w:line="240" w:lineRule="auto" w:after="0"/>
            </w:pPr>
            <w:r/>
            <w:r>
              <w:rPr>
                <w:rFonts w:ascii="Times New Roman" w:hAnsi="Times New Roman" w:cs="Times New Roman" w:eastAsia="Times New Roman"/>
                <w:sz w:val="20"/>
              </w:rPr>
              <w:t>A seven-stage pipeline with a reviewed, versioned artefact at every stage</w:t>
            </w:r>
          </w:p>
        </w:tc>
        <w:tc>
          <w:tcPr>
            <w:tcW w:type="dxa" w:w="1984"/>
            <w:tcW w:w="1984" w:type="dxa"/>
          </w:tcPr>
          <w:p>
            <w:pPr>
              <w:spacing w:line="240" w:lineRule="auto" w:after="0"/>
            </w:pPr>
            <w:r/>
            <w:r>
              <w:rPr>
                <w:rFonts w:ascii="Times New Roman" w:hAnsi="Times New Roman" w:cs="Times New Roman" w:eastAsia="Times New Roman"/>
                <w:sz w:val="20"/>
              </w:rPr>
              <w:t>Gates ON: 1 escaped defect instead of 5 (Table 6.8)</w:t>
            </w:r>
          </w:p>
        </w:tc>
      </w:tr>
      <w:tr>
        <w:trPr>
          <w:cantSplit w:val="true"/>
        </w:trPr>
        <w:tc>
          <w:tcPr>
            <w:tcW w:type="dxa" w:w="1701"/>
            <w:tcW w:w="1701" w:type="dxa"/>
          </w:tcPr>
          <w:p>
            <w:pPr>
              <w:spacing w:line="240" w:lineRule="auto" w:after="0"/>
            </w:pPr>
            <w:r/>
            <w:r>
              <w:rPr>
                <w:rFonts w:ascii="Times New Roman" w:hAnsi="Times New Roman" w:cs="Times New Roman" w:eastAsia="Times New Roman"/>
                <w:sz w:val="20"/>
              </w:rPr>
              <w:t>Reviewers (analyst, architect, designer, QA and security)</w:t>
            </w:r>
          </w:p>
        </w:tc>
        <w:tc>
          <w:tcPr>
            <w:tcW w:type="dxa" w:w="2098"/>
            <w:tcW w:w="2097" w:type="dxa"/>
          </w:tcPr>
          <w:p>
            <w:pPr>
              <w:spacing w:line="240" w:lineRule="auto" w:after="0"/>
            </w:pPr>
            <w:r/>
            <w:r>
              <w:rPr>
                <w:rFonts w:ascii="Times New Roman" w:hAnsi="Times New Roman" w:cs="Times New Roman" w:eastAsia="Times New Roman"/>
                <w:sz w:val="20"/>
              </w:rPr>
              <w:t>See and steer each decision in their own area</w:t>
            </w:r>
          </w:p>
        </w:tc>
        <w:tc>
          <w:tcPr>
            <w:tcW w:type="dxa" w:w="2438"/>
            <w:tcW w:w="2438" w:type="dxa"/>
          </w:tcPr>
          <w:p>
            <w:pPr>
              <w:spacing w:line="240" w:lineRule="auto" w:after="0"/>
            </w:pPr>
            <w:r/>
            <w:r>
              <w:rPr>
                <w:rFonts w:ascii="Times New Roman" w:hAnsi="Times New Roman" w:cs="Times New Roman" w:eastAsia="Times New Roman"/>
                <w:sz w:val="20"/>
              </w:rPr>
              <w:t>A gate at their stage, with diagrams, previews, diffs and findings to review</w:t>
            </w:r>
          </w:p>
        </w:tc>
        <w:tc>
          <w:tcPr>
            <w:tcW w:type="dxa" w:w="1984"/>
            <w:tcW w:w="1984" w:type="dxa"/>
          </w:tcPr>
          <w:p>
            <w:pPr>
              <w:spacing w:line="240" w:lineRule="auto" w:after="0"/>
            </w:pPr>
            <w:r/>
            <w:r>
              <w:rPr>
                <w:rFonts w:ascii="Times New Roman" w:hAnsi="Times New Roman" w:cs="Times New Roman" w:eastAsia="Times New Roman"/>
                <w:sz w:val="20"/>
              </w:rPr>
              <w:t>4 of 7 stages revised on the first feature (Table 6.3)</w:t>
            </w:r>
          </w:p>
        </w:tc>
      </w:tr>
      <w:tr>
        <w:trPr>
          <w:cantSplit w:val="true"/>
        </w:trPr>
        <w:tc>
          <w:tcPr>
            <w:tcW w:type="dxa" w:w="1701"/>
            <w:tcW w:w="1701" w:type="dxa"/>
          </w:tcPr>
          <w:p>
            <w:pPr>
              <w:spacing w:line="240" w:lineRule="auto" w:after="0"/>
            </w:pPr>
            <w:r/>
            <w:r>
              <w:rPr>
                <w:rFonts w:ascii="Times New Roman" w:hAnsi="Times New Roman" w:cs="Times New Roman" w:eastAsia="Times New Roman"/>
                <w:sz w:val="20"/>
              </w:rPr>
              <w:t>Store owners (the clients)</w:t>
            </w:r>
          </w:p>
        </w:tc>
        <w:tc>
          <w:tcPr>
            <w:tcW w:type="dxa" w:w="2098"/>
            <w:tcW w:w="2097" w:type="dxa"/>
          </w:tcPr>
          <w:p>
            <w:pPr>
              <w:spacing w:line="240" w:lineRule="auto" w:after="0"/>
            </w:pPr>
            <w:r/>
            <w:r>
              <w:rPr>
                <w:rFonts w:ascii="Times New Roman" w:hAnsi="Times New Roman" w:cs="Times New Roman" w:eastAsia="Times New Roman"/>
                <w:sz w:val="20"/>
              </w:rPr>
              <w:t>A store that works and holds customer data safely</w:t>
            </w:r>
          </w:p>
        </w:tc>
        <w:tc>
          <w:tcPr>
            <w:tcW w:type="dxa" w:w="2438"/>
            <w:tcW w:w="2438" w:type="dxa"/>
          </w:tcPr>
          <w:p>
            <w:pPr>
              <w:spacing w:line="240" w:lineRule="auto" w:after="0"/>
            </w:pPr>
            <w:r/>
            <w:r>
              <w:rPr>
                <w:rFonts w:ascii="Times New Roman" w:hAnsi="Times New Roman" w:cs="Times New Roman" w:eastAsia="Times New Roman"/>
                <w:sz w:val="20"/>
              </w:rPr>
              <w:t>Scanned and tested code, and an approval trail they can inspect</w:t>
            </w:r>
          </w:p>
        </w:tc>
        <w:tc>
          <w:tcPr>
            <w:tcW w:type="dxa" w:w="1984"/>
            <w:tcW w:w="1984" w:type="dxa"/>
          </w:tcPr>
          <w:p>
            <w:pPr>
              <w:spacing w:line="240" w:lineRule="auto" w:after="0"/>
            </w:pPr>
            <w:r/>
            <w:r>
              <w:rPr>
                <w:rFonts w:ascii="Times New Roman" w:hAnsi="Times New Roman" w:cs="Times New Roman" w:eastAsia="Times New Roman"/>
                <w:sz w:val="20"/>
              </w:rPr>
              <w:t>QA pass rate 91% with gates ON (Table 6.8)</w:t>
            </w:r>
          </w:p>
        </w:tc>
      </w:tr>
      <w:tr>
        <w:trPr>
          <w:cantSplit w:val="true"/>
        </w:trPr>
        <w:tc>
          <w:tcPr>
            <w:tcW w:type="dxa" w:w="1701"/>
            <w:tcW w:w="1701" w:type="dxa"/>
          </w:tcPr>
          <w:p>
            <w:pPr>
              <w:spacing w:line="240" w:lineRule="auto" w:after="0"/>
            </w:pPr>
            <w:r/>
            <w:r>
              <w:rPr>
                <w:rFonts w:ascii="Times New Roman" w:hAnsi="Times New Roman" w:cs="Times New Roman" w:eastAsia="Times New Roman"/>
                <w:sz w:val="20"/>
              </w:rPr>
              <w:t>Store customers</w:t>
            </w:r>
          </w:p>
        </w:tc>
        <w:tc>
          <w:tcPr>
            <w:tcW w:type="dxa" w:w="2098"/>
            <w:tcW w:w="2097" w:type="dxa"/>
          </w:tcPr>
          <w:p>
            <w:pPr>
              <w:spacing w:line="240" w:lineRule="auto" w:after="0"/>
            </w:pPr>
            <w:r/>
            <w:r>
              <w:rPr>
                <w:rFonts w:ascii="Times New Roman" w:hAnsi="Times New Roman" w:cs="Times New Roman" w:eastAsia="Times New Roman"/>
                <w:sz w:val="20"/>
              </w:rPr>
              <w:t>Safe accounts, carts and orders</w:t>
            </w:r>
          </w:p>
        </w:tc>
        <w:tc>
          <w:tcPr>
            <w:tcW w:type="dxa" w:w="2438"/>
            <w:tcW w:w="2438" w:type="dxa"/>
          </w:tcPr>
          <w:p>
            <w:pPr>
              <w:spacing w:line="240" w:lineRule="auto" w:after="0"/>
            </w:pPr>
            <w:r/>
            <w:r>
              <w:rPr>
                <w:rFonts w:ascii="Times New Roman" w:hAnsi="Times New Roman" w:cs="Times New Roman" w:eastAsia="Times New Roman"/>
                <w:sz w:val="20"/>
              </w:rPr>
              <w:t>Every change scanned for exposed credentials, unsafe code and vulnerable dependencies</w:t>
            </w:r>
          </w:p>
        </w:tc>
        <w:tc>
          <w:tcPr>
            <w:tcW w:type="dxa" w:w="1984"/>
            <w:tcW w:w="1984" w:type="dxa"/>
          </w:tcPr>
          <w:p>
            <w:pPr>
              <w:spacing w:line="240" w:lineRule="auto" w:after="0"/>
            </w:pPr>
            <w:r/>
            <w:r>
              <w:rPr>
                <w:rFonts w:ascii="Times New Roman" w:hAnsi="Times New Roman" w:cs="Times New Roman" w:eastAsia="Times New Roman"/>
                <w:sz w:val="20"/>
              </w:rPr>
              <w:t>Security precision 87.5%, recall 77.8% (Table 6.6)</w:t>
            </w:r>
          </w:p>
        </w:tc>
      </w:tr>
      <w:tr>
        <w:trPr>
          <w:cantSplit w:val="true"/>
        </w:trPr>
        <w:tc>
          <w:tcPr>
            <w:tcW w:type="dxa" w:w="1701"/>
            <w:tcW w:w="1701" w:type="dxa"/>
          </w:tcPr>
          <w:p>
            <w:pPr>
              <w:spacing w:line="240" w:lineRule="auto" w:after="0"/>
            </w:pPr>
            <w:r/>
            <w:r>
              <w:rPr>
                <w:rFonts w:ascii="Times New Roman" w:hAnsi="Times New Roman" w:cs="Times New Roman" w:eastAsia="Times New Roman"/>
                <w:sz w:val="20"/>
              </w:rPr>
              <w:t>Universities and students</w:t>
            </w:r>
          </w:p>
        </w:tc>
        <w:tc>
          <w:tcPr>
            <w:tcW w:type="dxa" w:w="2098"/>
            <w:tcW w:w="2097" w:type="dxa"/>
          </w:tcPr>
          <w:p>
            <w:pPr>
              <w:spacing w:line="240" w:lineRule="auto" w:after="0"/>
            </w:pPr>
            <w:r/>
            <w:r>
              <w:rPr>
                <w:rFonts w:ascii="Times New Roman" w:hAnsi="Times New Roman" w:cs="Times New Roman" w:eastAsia="Times New Roman"/>
                <w:sz w:val="20"/>
              </w:rPr>
              <w:t>Teach the full software life cycle with modern AI tools</w:t>
            </w:r>
          </w:p>
        </w:tc>
        <w:tc>
          <w:tcPr>
            <w:tcW w:type="dxa" w:w="2438"/>
            <w:tcW w:w="2438" w:type="dxa"/>
          </w:tcPr>
          <w:p>
            <w:pPr>
              <w:spacing w:line="240" w:lineRule="auto" w:after="0"/>
            </w:pPr>
            <w:r/>
            <w:r>
              <w:rPr>
                <w:rFonts w:ascii="Times New Roman" w:hAnsi="Times New Roman" w:cs="Times New Roman" w:eastAsia="Times New Roman"/>
                <w:sz w:val="20"/>
              </w:rPr>
              <w:t>A free, self-hosted edition that makes every stage visible</w:t>
            </w:r>
          </w:p>
        </w:tc>
        <w:tc>
          <w:tcPr>
            <w:tcW w:type="dxa" w:w="1984"/>
            <w:tcW w:w="1984" w:type="dxa"/>
          </w:tcPr>
          <w:p>
            <w:pPr>
              <w:spacing w:line="240" w:lineRule="auto" w:after="0"/>
            </w:pPr>
            <w:r/>
            <w:r>
              <w:rPr>
                <w:rFonts w:ascii="Times New Roman" w:hAnsi="Times New Roman" w:cs="Times New Roman" w:eastAsia="Times New Roman"/>
                <w:sz w:val="20"/>
              </w:rPr>
              <w:t>Runs on a single machine with a local model (Section 5.3)</w:t>
            </w:r>
          </w:p>
        </w:tc>
      </w:tr>
    </w:tbl>
    <w:p>
      <w:pPr>
        <w:spacing w:after="0"/>
      </w:pPr>
    </w:p>
    <w:p>
      <w:pPr>
        <w:jc w:val="both"/>
      </w:pPr>
      <w:r>
        <w:rPr>
          <w:rFonts w:ascii="Times New Roman" w:hAnsi="Times New Roman" w:cs="Times New Roman" w:eastAsia="Times New Roman"/>
        </w:rPr>
        <w:t>The value proposition can be summarised in four parts. AutoForge offers control, because no stage advances without a human decision; durability, because a run can wait for a reviewer and survive a restart; measured trust, because the security and QA results are measured rather than claimed; and low running cost, because the default model runs locally without per-token fees.</w:t>
      </w:r>
    </w:p>
    <w:p>
      <w:pPr>
        <w:jc w:val="both"/>
      </w:pPr>
      <w:r>
        <w:rPr>
          <w:rFonts w:ascii="Times New Roman" w:hAnsi="Times New Roman" w:cs="Times New Roman" w:eastAsia="Times New Roman"/>
        </w:rPr>
        <w:t>The evidence above comes from our own controlled study. To confirm demand from the people who would buy the product, we are collecting three further kinds of stakeholder evidence: a survey of developers, analysts and agency staff, letters of interest from development agencies, and feedback from demonstration sessions. Table 7.2 records the results.</w:t>
      </w:r>
    </w:p>
    <w:p>
      <w:pPr>
        <w:pStyle w:val="Caption"/>
        <w:keepNext/>
        <w:jc w:val="center"/>
      </w:pPr>
      <w:r>
        <w:rPr>
          <w:rFonts w:ascii="Times New Roman" w:hAnsi="Times New Roman" w:cs="Times New Roman" w:eastAsia="Times New Roman"/>
        </w:rPr>
        <w:t>Table 7.2: Stakeholder evidence of demand</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2740"/>
        <w:gridCol w:w="2740"/>
        <w:gridCol w:w="2740"/>
      </w:tblGrid>
      <w:tr>
        <w:trPr>
          <w:tblHeader w:val="true"/>
          <w:cantSplit w:val="true"/>
        </w:trPr>
        <w:tc>
          <w:tcPr>
            <w:tcW w:type="dxa" w:w="2551"/>
            <w:shd w:val="clear" w:color="auto" w:fill="D9D9D9"/>
            <w:tcW w:w="2551" w:type="dxa"/>
          </w:tcPr>
          <w:p>
            <w:pPr>
              <w:spacing w:line="240" w:lineRule="auto" w:after="0"/>
            </w:pPr>
            <w:r/>
            <w:r>
              <w:rPr>
                <w:rFonts w:ascii="Times New Roman" w:hAnsi="Times New Roman" w:cs="Times New Roman" w:eastAsia="Times New Roman"/>
                <w:b/>
                <w:sz w:val="20"/>
              </w:rPr>
              <w:t>Evidence</w:t>
            </w:r>
          </w:p>
        </w:tc>
        <w:tc>
          <w:tcPr>
            <w:tcW w:type="dxa" w:w="2268"/>
            <w:shd w:val="clear" w:color="auto" w:fill="D9D9D9"/>
            <w:tcW w:w="2268" w:type="dxa"/>
          </w:tcPr>
          <w:p>
            <w:pPr>
              <w:spacing w:line="240" w:lineRule="auto" w:after="0"/>
            </w:pPr>
            <w:r/>
            <w:r>
              <w:rPr>
                <w:rFonts w:ascii="Times New Roman" w:hAnsi="Times New Roman" w:cs="Times New Roman" w:eastAsia="Times New Roman"/>
                <w:b/>
                <w:sz w:val="20"/>
              </w:rPr>
              <w:t>Participants</w:t>
            </w:r>
          </w:p>
        </w:tc>
        <w:tc>
          <w:tcPr>
            <w:tcW w:type="dxa" w:w="3402"/>
            <w:shd w:val="clear" w:color="auto" w:fill="D9D9D9"/>
            <w:tcW w:w="3402" w:type="dxa"/>
          </w:tcPr>
          <w:p>
            <w:pPr>
              <w:spacing w:line="240" w:lineRule="auto" w:after="0"/>
            </w:pPr>
            <w:r/>
            <w:r>
              <w:rPr>
                <w:rFonts w:ascii="Times New Roman" w:hAnsi="Times New Roman" w:cs="Times New Roman" w:eastAsia="Times New Roman"/>
                <w:b/>
                <w:sz w:val="20"/>
              </w:rPr>
              <w:t>Key result</w:t>
            </w:r>
          </w:p>
        </w:tc>
      </w:tr>
      <w:tr>
        <w:trPr>
          <w:cantSplit w:val="true"/>
        </w:trPr>
        <w:tc>
          <w:tcPr>
            <w:tcW w:type="dxa" w:w="2551"/>
            <w:tcW w:w="2551" w:type="dxa"/>
          </w:tcPr>
          <w:p>
            <w:pPr>
              <w:spacing w:line="240" w:lineRule="auto" w:after="0"/>
            </w:pPr>
            <w:r/>
            <w:r>
              <w:rPr>
                <w:rFonts w:ascii="Times New Roman" w:hAnsi="Times New Roman" w:cs="Times New Roman" w:eastAsia="Times New Roman"/>
                <w:sz w:val="20"/>
              </w:rPr>
              <w:t>Online survey (10 questions)</w:t>
            </w:r>
          </w:p>
        </w:tc>
        <w:tc>
          <w:tcPr>
            <w:tcW w:type="dxa" w:w="2268"/>
            <w:tcW w:w="2268" w:type="dxa"/>
          </w:tcPr>
          <w:p>
            <w:pPr>
              <w:spacing w:line="240" w:lineRule="auto" w:after="0"/>
            </w:pPr>
            <w:r/>
            <w:r>
              <w:rPr>
                <w:rFonts w:ascii="Times New Roman" w:hAnsi="Times New Roman" w:cs="Times New Roman" w:eastAsia="Times New Roman"/>
                <w:sz w:val="20"/>
              </w:rPr>
              <w:t>[number] developers, analysts, QA engineers and agency staff</w:t>
            </w:r>
          </w:p>
        </w:tc>
        <w:tc>
          <w:tcPr>
            <w:tcW w:type="dxa" w:w="3402"/>
            <w:tcW w:w="3402" w:type="dxa"/>
          </w:tcPr>
          <w:p>
            <w:pPr>
              <w:spacing w:line="240" w:lineRule="auto" w:after="0"/>
            </w:pPr>
            <w:r/>
            <w:r>
              <w:rPr>
                <w:rFonts w:ascii="Times New Roman" w:hAnsi="Times New Roman" w:cs="Times New Roman" w:eastAsia="Times New Roman"/>
                <w:sz w:val="20"/>
              </w:rPr>
              <w:t>[% who would use a gated pipeline; % willing to pay LKR 6,000 or more per user per month; typical time to deliver a feature]</w:t>
            </w:r>
          </w:p>
        </w:tc>
      </w:tr>
      <w:tr>
        <w:trPr>
          <w:cantSplit w:val="true"/>
        </w:trPr>
        <w:tc>
          <w:tcPr>
            <w:tcW w:type="dxa" w:w="2551"/>
            <w:tcW w:w="2551" w:type="dxa"/>
          </w:tcPr>
          <w:p>
            <w:pPr>
              <w:spacing w:line="240" w:lineRule="auto" w:after="0"/>
            </w:pPr>
            <w:r/>
            <w:r>
              <w:rPr>
                <w:rFonts w:ascii="Times New Roman" w:hAnsi="Times New Roman" w:cs="Times New Roman" w:eastAsia="Times New Roman"/>
                <w:sz w:val="20"/>
              </w:rPr>
              <w:t>Letters of interest</w:t>
            </w:r>
          </w:p>
        </w:tc>
        <w:tc>
          <w:tcPr>
            <w:tcW w:type="dxa" w:w="2268"/>
            <w:tcW w:w="2268" w:type="dxa"/>
          </w:tcPr>
          <w:p>
            <w:pPr>
              <w:spacing w:line="240" w:lineRule="auto" w:after="0"/>
            </w:pPr>
            <w:r/>
            <w:r>
              <w:rPr>
                <w:rFonts w:ascii="Times New Roman" w:hAnsi="Times New Roman" w:cs="Times New Roman" w:eastAsia="Times New Roman"/>
                <w:sz w:val="20"/>
              </w:rPr>
              <w:t>[number] development agencies</w:t>
            </w:r>
          </w:p>
        </w:tc>
        <w:tc>
          <w:tcPr>
            <w:tcW w:type="dxa" w:w="3402"/>
            <w:tcW w:w="3402" w:type="dxa"/>
          </w:tcPr>
          <w:p>
            <w:pPr>
              <w:spacing w:line="240" w:lineRule="auto" w:after="0"/>
            </w:pPr>
            <w:r/>
            <w:r>
              <w:rPr>
                <w:rFonts w:ascii="Times New Roman" w:hAnsi="Times New Roman" w:cs="Times New Roman" w:eastAsia="Times New Roman"/>
                <w:sz w:val="20"/>
              </w:rPr>
              <w:t>[names, and the plan and price each would trial]</w:t>
            </w:r>
          </w:p>
        </w:tc>
      </w:tr>
      <w:tr>
        <w:trPr>
          <w:cantSplit w:val="true"/>
        </w:trPr>
        <w:tc>
          <w:tcPr>
            <w:tcW w:type="dxa" w:w="2551"/>
            <w:tcW w:w="2551" w:type="dxa"/>
          </w:tcPr>
          <w:p>
            <w:pPr>
              <w:spacing w:line="240" w:lineRule="auto" w:after="0"/>
            </w:pPr>
            <w:r/>
            <w:r>
              <w:rPr>
                <w:rFonts w:ascii="Times New Roman" w:hAnsi="Times New Roman" w:cs="Times New Roman" w:eastAsia="Times New Roman"/>
                <w:sz w:val="20"/>
              </w:rPr>
              <w:t>Demonstration sessions</w:t>
            </w:r>
          </w:p>
        </w:tc>
        <w:tc>
          <w:tcPr>
            <w:tcW w:type="dxa" w:w="2268"/>
            <w:tcW w:w="2268" w:type="dxa"/>
          </w:tcPr>
          <w:p>
            <w:pPr>
              <w:spacing w:line="240" w:lineRule="auto" w:after="0"/>
            </w:pPr>
            <w:r/>
            <w:r>
              <w:rPr>
                <w:rFonts w:ascii="Times New Roman" w:hAnsi="Times New Roman" w:cs="Times New Roman" w:eastAsia="Times New Roman"/>
                <w:sz w:val="20"/>
              </w:rPr>
              <w:t>[number] practitioners</w:t>
            </w:r>
          </w:p>
        </w:tc>
        <w:tc>
          <w:tcPr>
            <w:tcW w:type="dxa" w:w="3402"/>
            <w:tcW w:w="3402" w:type="dxa"/>
          </w:tcPr>
          <w:p>
            <w:pPr>
              <w:spacing w:line="240" w:lineRule="auto" w:after="0"/>
            </w:pPr>
            <w:r/>
            <w:r>
              <w:rPr>
                <w:rFonts w:ascii="Times New Roman" w:hAnsi="Times New Roman" w:cs="Times New Roman" w:eastAsia="Times New Roman"/>
                <w:sz w:val="20"/>
              </w:rPr>
              <w:t>[average usefulness rating and main comments]</w:t>
            </w:r>
          </w:p>
        </w:tc>
      </w:tr>
    </w:tbl>
    <w:p>
      <w:pPr>
        <w:spacing w:after="0"/>
      </w:pPr>
    </w:p>
    <w:p>
      <w:pPr>
        <w:pStyle w:val="Heading2"/>
      </w:pPr>
      <w:r>
        <w:rPr>
          <w:rFonts w:ascii="Times New Roman" w:hAnsi="Times New Roman" w:cs="Times New Roman" w:eastAsia="Times New Roman"/>
        </w:rPr>
        <w:t>7.2 Market alternatives and differentiation</w:t>
      </w:r>
    </w:p>
    <w:p>
      <w:pPr>
        <w:jc w:val="both"/>
      </w:pPr>
      <w:r>
        <w:rPr>
          <w:rFonts w:ascii="Times New Roman" w:hAnsi="Times New Roman" w:cs="Times New Roman" w:eastAsia="Times New Roman"/>
        </w:rPr>
        <w:t>Our first target segment is small e-commerce development teams and digital agencies that build online stores for clients. We plan to begin in Sri Lanka, where the IT and business process management industry employs about 175,000 people across more than 680 companies and over 700 active startups, and earned an estimated USD 2 billion in exports in 2025 [24]. Many of these firms are small and do client work, which is exactly the setting in which a specification, a design record and an approval trail have commercial value. Two further segments follow: in-house teams at retailers that build their own stores, and universities that teach software engineering. Once domain knowledge packs exist for other bounded domains, teams outside e-commerce become a third segment.</w:t>
      </w:r>
    </w:p>
    <w:p>
      <w:pPr>
        <w:jc w:val="both"/>
      </w:pPr>
      <w:r>
        <w:rPr>
          <w:rFonts w:ascii="Times New Roman" w:hAnsi="Times New Roman" w:cs="Times New Roman" w:eastAsia="Times New Roman"/>
        </w:rPr>
        <w:t>Buyers already pay for AI development tools, and the market has settled on a common way of charging. Table 7.3 lists the current list prices of the most widely used tools. Every coding tool combines a price per seat with a usage allowance, and team plans cost between USD 25 and USD 50 per user per month, or about LKR 8,300 to 16,500 at the October 2026 exchange rate of 330.43 rupees to the dollar [33].</w:t>
      </w:r>
    </w:p>
    <w:p>
      <w:pPr>
        <w:pStyle w:val="Caption"/>
        <w:keepNext/>
        <w:jc w:val="center"/>
      </w:pPr>
      <w:r>
        <w:rPr>
          <w:rFonts w:ascii="Times New Roman" w:hAnsi="Times New Roman" w:cs="Times New Roman" w:eastAsia="Times New Roman"/>
        </w:rPr>
        <w:t>Table 7.3: Pricing of existing AI development tools (October 2026)</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1644"/>
        <w:gridCol w:w="1644"/>
        <w:gridCol w:w="1644"/>
        <w:gridCol w:w="1644"/>
        <w:gridCol w:w="1644"/>
      </w:tblGrid>
      <w:tr>
        <w:trPr>
          <w:tblHeader w:val="true"/>
          <w:cantSplit w:val="true"/>
        </w:trPr>
        <w:tc>
          <w:tcPr>
            <w:tcW w:type="dxa" w:w="1361"/>
            <w:shd w:val="clear" w:color="auto" w:fill="D9D9D9"/>
            <w:tcW w:w="1360" w:type="dxa"/>
          </w:tcPr>
          <w:p>
            <w:pPr>
              <w:spacing w:line="240" w:lineRule="auto" w:after="0"/>
            </w:pPr>
            <w:r/>
            <w:r>
              <w:rPr>
                <w:rFonts w:ascii="Times New Roman" w:hAnsi="Times New Roman" w:cs="Times New Roman" w:eastAsia="Times New Roman"/>
                <w:b/>
                <w:sz w:val="20"/>
              </w:rPr>
              <w:t>Product</w:t>
            </w:r>
          </w:p>
        </w:tc>
        <w:tc>
          <w:tcPr>
            <w:tcW w:type="dxa" w:w="1701"/>
            <w:shd w:val="clear" w:color="auto" w:fill="D9D9D9"/>
            <w:tcW w:w="1701" w:type="dxa"/>
          </w:tcPr>
          <w:p>
            <w:pPr>
              <w:spacing w:line="240" w:lineRule="auto" w:after="0"/>
            </w:pPr>
            <w:r/>
            <w:r>
              <w:rPr>
                <w:rFonts w:ascii="Times New Roman" w:hAnsi="Times New Roman" w:cs="Times New Roman" w:eastAsia="Times New Roman"/>
                <w:b/>
                <w:sz w:val="20"/>
              </w:rPr>
              <w:t>Type</w:t>
            </w:r>
          </w:p>
        </w:tc>
        <w:tc>
          <w:tcPr>
            <w:tcW w:type="dxa" w:w="1757"/>
            <w:shd w:val="clear" w:color="auto" w:fill="D9D9D9"/>
            <w:tcW w:w="1757" w:type="dxa"/>
          </w:tcPr>
          <w:p>
            <w:pPr>
              <w:spacing w:line="240" w:lineRule="auto" w:after="0"/>
            </w:pPr>
            <w:r/>
            <w:r>
              <w:rPr>
                <w:rFonts w:ascii="Times New Roman" w:hAnsi="Times New Roman" w:cs="Times New Roman" w:eastAsia="Times New Roman"/>
                <w:b/>
                <w:sz w:val="20"/>
              </w:rPr>
              <w:t>Individual plan (USD/month)</w:t>
            </w:r>
          </w:p>
        </w:tc>
        <w:tc>
          <w:tcPr>
            <w:tcW w:type="dxa" w:w="1757"/>
            <w:shd w:val="clear" w:color="auto" w:fill="D9D9D9"/>
            <w:tcW w:w="1757" w:type="dxa"/>
          </w:tcPr>
          <w:p>
            <w:pPr>
              <w:spacing w:line="240" w:lineRule="auto" w:after="0"/>
            </w:pPr>
            <w:r/>
            <w:r>
              <w:rPr>
                <w:rFonts w:ascii="Times New Roman" w:hAnsi="Times New Roman" w:cs="Times New Roman" w:eastAsia="Times New Roman"/>
                <w:b/>
                <w:sz w:val="20"/>
              </w:rPr>
              <w:t>Team plan (USD/user/month)</w:t>
            </w:r>
          </w:p>
        </w:tc>
        <w:tc>
          <w:tcPr>
            <w:tcW w:type="dxa" w:w="1644"/>
            <w:shd w:val="clear" w:color="auto" w:fill="D9D9D9"/>
            <w:tcW w:w="1644" w:type="dxa"/>
          </w:tcPr>
          <w:p>
            <w:pPr>
              <w:spacing w:line="240" w:lineRule="auto" w:after="0"/>
            </w:pPr>
            <w:r/>
            <w:r>
              <w:rPr>
                <w:rFonts w:ascii="Times New Roman" w:hAnsi="Times New Roman" w:cs="Times New Roman" w:eastAsia="Times New Roman"/>
                <w:b/>
                <w:sz w:val="20"/>
              </w:rPr>
              <w:t>Usage limited by</w:t>
            </w:r>
          </w:p>
        </w:tc>
      </w:tr>
      <w:tr>
        <w:trPr>
          <w:cantSplit w:val="true"/>
        </w:trPr>
        <w:tc>
          <w:tcPr>
            <w:tcW w:type="dxa" w:w="1361"/>
            <w:tcW w:w="1360" w:type="dxa"/>
          </w:tcPr>
          <w:p>
            <w:pPr>
              <w:spacing w:line="240" w:lineRule="auto" w:after="0"/>
            </w:pPr>
            <w:r/>
            <w:r>
              <w:rPr>
                <w:rFonts w:ascii="Times New Roman" w:hAnsi="Times New Roman" w:cs="Times New Roman" w:eastAsia="Times New Roman"/>
                <w:sz w:val="20"/>
              </w:rPr>
              <w:t>GitHub Copilot [26]</w:t>
            </w:r>
          </w:p>
        </w:tc>
        <w:tc>
          <w:tcPr>
            <w:tcW w:type="dxa" w:w="1701"/>
            <w:tcW w:w="1701" w:type="dxa"/>
          </w:tcPr>
          <w:p>
            <w:pPr>
              <w:spacing w:line="240" w:lineRule="auto" w:after="0"/>
            </w:pPr>
            <w:r/>
            <w:r>
              <w:rPr>
                <w:rFonts w:ascii="Times New Roman" w:hAnsi="Times New Roman" w:cs="Times New Roman" w:eastAsia="Times New Roman"/>
                <w:sz w:val="20"/>
              </w:rPr>
              <w:t>Coding assistant</w:t>
            </w:r>
          </w:p>
        </w:tc>
        <w:tc>
          <w:tcPr>
            <w:tcW w:type="dxa" w:w="1757"/>
            <w:tcW w:w="1757" w:type="dxa"/>
          </w:tcPr>
          <w:p>
            <w:pPr>
              <w:spacing w:line="240" w:lineRule="auto" w:after="0"/>
            </w:pPr>
            <w:r/>
            <w:r>
              <w:rPr>
                <w:rFonts w:ascii="Times New Roman" w:hAnsi="Times New Roman" w:cs="Times New Roman" w:eastAsia="Times New Roman"/>
                <w:sz w:val="20"/>
              </w:rPr>
              <w:t>Pro 10; Pro+ 39</w:t>
            </w:r>
          </w:p>
        </w:tc>
        <w:tc>
          <w:tcPr>
            <w:tcW w:type="dxa" w:w="1757"/>
            <w:tcW w:w="1757" w:type="dxa"/>
          </w:tcPr>
          <w:p>
            <w:pPr>
              <w:spacing w:line="240" w:lineRule="auto" w:after="0"/>
            </w:pPr>
            <w:r/>
            <w:r>
              <w:rPr>
                <w:rFonts w:ascii="Times New Roman" w:hAnsi="Times New Roman" w:cs="Times New Roman" w:eastAsia="Times New Roman"/>
                <w:sz w:val="20"/>
              </w:rPr>
              <w:t>Business (price not listed); Enterprise on request</w:t>
            </w:r>
          </w:p>
        </w:tc>
        <w:tc>
          <w:tcPr>
            <w:tcW w:type="dxa" w:w="1644"/>
            <w:tcW w:w="1644" w:type="dxa"/>
          </w:tcPr>
          <w:p>
            <w:pPr>
              <w:spacing w:line="240" w:lineRule="auto" w:after="0"/>
            </w:pPr>
            <w:r/>
            <w:r>
              <w:rPr>
                <w:rFonts w:ascii="Times New Roman" w:hAnsi="Times New Roman" w:cs="Times New Roman" w:eastAsia="Times New Roman"/>
                <w:sz w:val="20"/>
              </w:rPr>
              <w:t>AI credits</w:t>
            </w:r>
          </w:p>
        </w:tc>
      </w:tr>
      <w:tr>
        <w:trPr>
          <w:cantSplit w:val="true"/>
        </w:trPr>
        <w:tc>
          <w:tcPr>
            <w:tcW w:type="dxa" w:w="1361"/>
            <w:tcW w:w="1360" w:type="dxa"/>
          </w:tcPr>
          <w:p>
            <w:pPr>
              <w:spacing w:line="240" w:lineRule="auto" w:after="0"/>
            </w:pPr>
            <w:r/>
            <w:r>
              <w:rPr>
                <w:rFonts w:ascii="Times New Roman" w:hAnsi="Times New Roman" w:cs="Times New Roman" w:eastAsia="Times New Roman"/>
                <w:sz w:val="20"/>
              </w:rPr>
              <w:t>Cursor [27]</w:t>
            </w:r>
          </w:p>
        </w:tc>
        <w:tc>
          <w:tcPr>
            <w:tcW w:type="dxa" w:w="1701"/>
            <w:tcW w:w="1701" w:type="dxa"/>
          </w:tcPr>
          <w:p>
            <w:pPr>
              <w:spacing w:line="240" w:lineRule="auto" w:after="0"/>
            </w:pPr>
            <w:r/>
            <w:r>
              <w:rPr>
                <w:rFonts w:ascii="Times New Roman" w:hAnsi="Times New Roman" w:cs="Times New Roman" w:eastAsia="Times New Roman"/>
                <w:sz w:val="20"/>
              </w:rPr>
              <w:t>AI code editor</w:t>
            </w:r>
          </w:p>
        </w:tc>
        <w:tc>
          <w:tcPr>
            <w:tcW w:type="dxa" w:w="1757"/>
            <w:tcW w:w="1757" w:type="dxa"/>
          </w:tcPr>
          <w:p>
            <w:pPr>
              <w:spacing w:line="240" w:lineRule="auto" w:after="0"/>
            </w:pPr>
            <w:r/>
            <w:r>
              <w:rPr>
                <w:rFonts w:ascii="Times New Roman" w:hAnsi="Times New Roman" w:cs="Times New Roman" w:eastAsia="Times New Roman"/>
                <w:sz w:val="20"/>
              </w:rPr>
              <w:t>20</w:t>
            </w:r>
          </w:p>
        </w:tc>
        <w:tc>
          <w:tcPr>
            <w:tcW w:type="dxa" w:w="1757"/>
            <w:tcW w:w="1757" w:type="dxa"/>
          </w:tcPr>
          <w:p>
            <w:pPr>
              <w:spacing w:line="240" w:lineRule="auto" w:after="0"/>
            </w:pPr>
            <w:r/>
            <w:r>
              <w:rPr>
                <w:rFonts w:ascii="Times New Roman" w:hAnsi="Times New Roman" w:cs="Times New Roman" w:eastAsia="Times New Roman"/>
                <w:sz w:val="20"/>
              </w:rPr>
              <w:t>Teams 40</w:t>
            </w:r>
          </w:p>
        </w:tc>
        <w:tc>
          <w:tcPr>
            <w:tcW w:type="dxa" w:w="1644"/>
            <w:tcW w:w="1644" w:type="dxa"/>
          </w:tcPr>
          <w:p>
            <w:pPr>
              <w:spacing w:line="240" w:lineRule="auto" w:after="0"/>
            </w:pPr>
            <w:r/>
            <w:r>
              <w:rPr>
                <w:rFonts w:ascii="Times New Roman" w:hAnsi="Times New Roman" w:cs="Times New Roman" w:eastAsia="Times New Roman"/>
                <w:sz w:val="20"/>
              </w:rPr>
              <w:t>Agent usage</w:t>
            </w:r>
          </w:p>
        </w:tc>
      </w:tr>
      <w:tr>
        <w:trPr>
          <w:cantSplit w:val="true"/>
        </w:trPr>
        <w:tc>
          <w:tcPr>
            <w:tcW w:type="dxa" w:w="1361"/>
            <w:tcW w:w="1360" w:type="dxa"/>
          </w:tcPr>
          <w:p>
            <w:pPr>
              <w:spacing w:line="240" w:lineRule="auto" w:after="0"/>
            </w:pPr>
            <w:r/>
            <w:r>
              <w:rPr>
                <w:rFonts w:ascii="Times New Roman" w:hAnsi="Times New Roman" w:cs="Times New Roman" w:eastAsia="Times New Roman"/>
                <w:sz w:val="20"/>
              </w:rPr>
              <w:t>Lovable [28]</w:t>
            </w:r>
          </w:p>
        </w:tc>
        <w:tc>
          <w:tcPr>
            <w:tcW w:type="dxa" w:w="1701"/>
            <w:tcW w:w="1701" w:type="dxa"/>
          </w:tcPr>
          <w:p>
            <w:pPr>
              <w:spacing w:line="240" w:lineRule="auto" w:after="0"/>
            </w:pPr>
            <w:r/>
            <w:r>
              <w:rPr>
                <w:rFonts w:ascii="Times New Roman" w:hAnsi="Times New Roman" w:cs="Times New Roman" w:eastAsia="Times New Roman"/>
                <w:sz w:val="20"/>
              </w:rPr>
              <w:t>Prompt-to-app builder</w:t>
            </w:r>
          </w:p>
        </w:tc>
        <w:tc>
          <w:tcPr>
            <w:tcW w:type="dxa" w:w="1757"/>
            <w:tcW w:w="1757" w:type="dxa"/>
          </w:tcPr>
          <w:p>
            <w:pPr>
              <w:spacing w:line="240" w:lineRule="auto" w:after="0"/>
            </w:pPr>
            <w:r/>
            <w:r>
              <w:rPr>
                <w:rFonts w:ascii="Times New Roman" w:hAnsi="Times New Roman" w:cs="Times New Roman" w:eastAsia="Times New Roman"/>
                <w:sz w:val="20"/>
              </w:rPr>
              <w:t>Pro from 25</w:t>
            </w:r>
          </w:p>
        </w:tc>
        <w:tc>
          <w:tcPr>
            <w:tcW w:type="dxa" w:w="1757"/>
            <w:tcW w:w="1757" w:type="dxa"/>
          </w:tcPr>
          <w:p>
            <w:pPr>
              <w:spacing w:line="240" w:lineRule="auto" w:after="0"/>
            </w:pPr>
            <w:r/>
            <w:r>
              <w:rPr>
                <w:rFonts w:ascii="Times New Roman" w:hAnsi="Times New Roman" w:cs="Times New Roman" w:eastAsia="Times New Roman"/>
                <w:sz w:val="20"/>
              </w:rPr>
              <w:t>Business from 50</w:t>
            </w:r>
          </w:p>
        </w:tc>
        <w:tc>
          <w:tcPr>
            <w:tcW w:type="dxa" w:w="1644"/>
            <w:tcW w:w="1644" w:type="dxa"/>
          </w:tcPr>
          <w:p>
            <w:pPr>
              <w:spacing w:line="240" w:lineRule="auto" w:after="0"/>
            </w:pPr>
            <w:r/>
            <w:r>
              <w:rPr>
                <w:rFonts w:ascii="Times New Roman" w:hAnsi="Times New Roman" w:cs="Times New Roman" w:eastAsia="Times New Roman"/>
                <w:sz w:val="20"/>
              </w:rPr>
              <w:t>Credits</w:t>
            </w:r>
          </w:p>
        </w:tc>
      </w:tr>
      <w:tr>
        <w:trPr>
          <w:cantSplit w:val="true"/>
        </w:trPr>
        <w:tc>
          <w:tcPr>
            <w:tcW w:type="dxa" w:w="1361"/>
            <w:tcW w:w="1360" w:type="dxa"/>
          </w:tcPr>
          <w:p>
            <w:pPr>
              <w:spacing w:line="240" w:lineRule="auto" w:after="0"/>
            </w:pPr>
            <w:r/>
            <w:r>
              <w:rPr>
                <w:rFonts w:ascii="Times New Roman" w:hAnsi="Times New Roman" w:cs="Times New Roman" w:eastAsia="Times New Roman"/>
                <w:sz w:val="20"/>
              </w:rPr>
              <w:t>Bolt [29]</w:t>
            </w:r>
          </w:p>
        </w:tc>
        <w:tc>
          <w:tcPr>
            <w:tcW w:type="dxa" w:w="1701"/>
            <w:tcW w:w="1701" w:type="dxa"/>
          </w:tcPr>
          <w:p>
            <w:pPr>
              <w:spacing w:line="240" w:lineRule="auto" w:after="0"/>
            </w:pPr>
            <w:r/>
            <w:r>
              <w:rPr>
                <w:rFonts w:ascii="Times New Roman" w:hAnsi="Times New Roman" w:cs="Times New Roman" w:eastAsia="Times New Roman"/>
                <w:sz w:val="20"/>
              </w:rPr>
              <w:t>Prompt-to-app builder</w:t>
            </w:r>
          </w:p>
        </w:tc>
        <w:tc>
          <w:tcPr>
            <w:tcW w:type="dxa" w:w="1757"/>
            <w:tcW w:w="1757" w:type="dxa"/>
          </w:tcPr>
          <w:p>
            <w:pPr>
              <w:spacing w:line="240" w:lineRule="auto" w:after="0"/>
            </w:pPr>
            <w:r/>
            <w:r>
              <w:rPr>
                <w:rFonts w:ascii="Times New Roman" w:hAnsi="Times New Roman" w:cs="Times New Roman" w:eastAsia="Times New Roman"/>
                <w:sz w:val="20"/>
              </w:rPr>
              <w:t>Pro 25</w:t>
            </w:r>
          </w:p>
        </w:tc>
        <w:tc>
          <w:tcPr>
            <w:tcW w:type="dxa" w:w="1757"/>
            <w:tcW w:w="1757" w:type="dxa"/>
          </w:tcPr>
          <w:p>
            <w:pPr>
              <w:spacing w:line="240" w:lineRule="auto" w:after="0"/>
            </w:pPr>
            <w:r/>
            <w:r>
              <w:rPr>
                <w:rFonts w:ascii="Times New Roman" w:hAnsi="Times New Roman" w:cs="Times New Roman" w:eastAsia="Times New Roman"/>
                <w:sz w:val="20"/>
              </w:rPr>
              <w:t>Teams 30</w:t>
            </w:r>
          </w:p>
        </w:tc>
        <w:tc>
          <w:tcPr>
            <w:tcW w:type="dxa" w:w="1644"/>
            <w:tcW w:w="1644" w:type="dxa"/>
          </w:tcPr>
          <w:p>
            <w:pPr>
              <w:spacing w:line="240" w:lineRule="auto" w:after="0"/>
            </w:pPr>
            <w:r/>
            <w:r>
              <w:rPr>
                <w:rFonts w:ascii="Times New Roman" w:hAnsi="Times New Roman" w:cs="Times New Roman" w:eastAsia="Times New Roman"/>
                <w:sz w:val="20"/>
              </w:rPr>
              <w:t>Tokens</w:t>
            </w:r>
          </w:p>
        </w:tc>
      </w:tr>
      <w:tr>
        <w:trPr>
          <w:cantSplit w:val="true"/>
        </w:trPr>
        <w:tc>
          <w:tcPr>
            <w:tcW w:type="dxa" w:w="1361"/>
            <w:tcW w:w="1360" w:type="dxa"/>
          </w:tcPr>
          <w:p>
            <w:pPr>
              <w:spacing w:line="240" w:lineRule="auto" w:after="0"/>
            </w:pPr>
            <w:r/>
            <w:r>
              <w:rPr>
                <w:rFonts w:ascii="Times New Roman" w:hAnsi="Times New Roman" w:cs="Times New Roman" w:eastAsia="Times New Roman"/>
                <w:sz w:val="20"/>
              </w:rPr>
              <w:t>ChatGPT [30]</w:t>
            </w:r>
          </w:p>
        </w:tc>
        <w:tc>
          <w:tcPr>
            <w:tcW w:type="dxa" w:w="1701"/>
            <w:tcW w:w="1701" w:type="dxa"/>
          </w:tcPr>
          <w:p>
            <w:pPr>
              <w:spacing w:line="240" w:lineRule="auto" w:after="0"/>
            </w:pPr>
            <w:r/>
            <w:r>
              <w:rPr>
                <w:rFonts w:ascii="Times New Roman" w:hAnsi="Times New Roman" w:cs="Times New Roman" w:eastAsia="Times New Roman"/>
                <w:sz w:val="20"/>
              </w:rPr>
              <w:t>Chat assistant</w:t>
            </w:r>
          </w:p>
        </w:tc>
        <w:tc>
          <w:tcPr>
            <w:tcW w:type="dxa" w:w="1757"/>
            <w:tcW w:w="1757" w:type="dxa"/>
          </w:tcPr>
          <w:p>
            <w:pPr>
              <w:spacing w:line="240" w:lineRule="auto" w:after="0"/>
            </w:pPr>
            <w:r/>
            <w:r>
              <w:rPr>
                <w:rFonts w:ascii="Times New Roman" w:hAnsi="Times New Roman" w:cs="Times New Roman" w:eastAsia="Times New Roman"/>
                <w:sz w:val="20"/>
              </w:rPr>
              <w:t>Go 8; Plus 20</w:t>
            </w:r>
          </w:p>
        </w:tc>
        <w:tc>
          <w:tcPr>
            <w:tcW w:type="dxa" w:w="1757"/>
            <w:tcW w:w="1757" w:type="dxa"/>
          </w:tcPr>
          <w:p>
            <w:pPr>
              <w:spacing w:line="240" w:lineRule="auto" w:after="0"/>
            </w:pPr>
            <w:r/>
            <w:r>
              <w:rPr>
                <w:rFonts w:ascii="Times New Roman" w:hAnsi="Times New Roman" w:cs="Times New Roman" w:eastAsia="Times New Roman"/>
                <w:sz w:val="20"/>
              </w:rPr>
              <w:t>Business 25</w:t>
            </w:r>
          </w:p>
        </w:tc>
        <w:tc>
          <w:tcPr>
            <w:tcW w:type="dxa" w:w="1644"/>
            <w:tcW w:w="1644" w:type="dxa"/>
          </w:tcPr>
          <w:p>
            <w:pPr>
              <w:spacing w:line="240" w:lineRule="auto" w:after="0"/>
            </w:pPr>
            <w:r/>
            <w:r>
              <w:rPr>
                <w:rFonts w:ascii="Times New Roman" w:hAnsi="Times New Roman" w:cs="Times New Roman" w:eastAsia="Times New Roman"/>
                <w:sz w:val="20"/>
              </w:rPr>
              <w:t>Messages</w:t>
            </w:r>
          </w:p>
        </w:tc>
      </w:tr>
      <w:tr>
        <w:trPr>
          <w:cantSplit w:val="true"/>
        </w:trPr>
        <w:tc>
          <w:tcPr>
            <w:tcW w:type="dxa" w:w="1361"/>
            <w:tcW w:w="1360" w:type="dxa"/>
          </w:tcPr>
          <w:p>
            <w:pPr>
              <w:spacing w:line="240" w:lineRule="auto" w:after="0"/>
            </w:pPr>
            <w:r/>
            <w:r>
              <w:rPr>
                <w:rFonts w:ascii="Times New Roman" w:hAnsi="Times New Roman" w:cs="Times New Roman" w:eastAsia="Times New Roman"/>
                <w:sz w:val="20"/>
              </w:rPr>
              <w:t>Claude [31]</w:t>
            </w:r>
          </w:p>
        </w:tc>
        <w:tc>
          <w:tcPr>
            <w:tcW w:type="dxa" w:w="1701"/>
            <w:tcW w:w="1701" w:type="dxa"/>
          </w:tcPr>
          <w:p>
            <w:pPr>
              <w:spacing w:line="240" w:lineRule="auto" w:after="0"/>
            </w:pPr>
            <w:r/>
            <w:r>
              <w:rPr>
                <w:rFonts w:ascii="Times New Roman" w:hAnsi="Times New Roman" w:cs="Times New Roman" w:eastAsia="Times New Roman"/>
                <w:sz w:val="20"/>
              </w:rPr>
              <w:t>Chat assistant</w:t>
            </w:r>
          </w:p>
        </w:tc>
        <w:tc>
          <w:tcPr>
            <w:tcW w:type="dxa" w:w="1757"/>
            <w:tcW w:w="1757" w:type="dxa"/>
          </w:tcPr>
          <w:p>
            <w:pPr>
              <w:spacing w:line="240" w:lineRule="auto" w:after="0"/>
            </w:pPr>
            <w:r/>
            <w:r>
              <w:rPr>
                <w:rFonts w:ascii="Times New Roman" w:hAnsi="Times New Roman" w:cs="Times New Roman" w:eastAsia="Times New Roman"/>
                <w:sz w:val="20"/>
              </w:rPr>
              <w:t>Pro 20</w:t>
            </w:r>
          </w:p>
        </w:tc>
        <w:tc>
          <w:tcPr>
            <w:tcW w:type="dxa" w:w="1757"/>
            <w:tcW w:w="1757" w:type="dxa"/>
          </w:tcPr>
          <w:p>
            <w:pPr>
              <w:spacing w:line="240" w:lineRule="auto" w:after="0"/>
            </w:pPr>
            <w:r/>
            <w:r>
              <w:rPr>
                <w:rFonts w:ascii="Times New Roman" w:hAnsi="Times New Roman" w:cs="Times New Roman" w:eastAsia="Times New Roman"/>
                <w:sz w:val="20"/>
              </w:rPr>
              <w:t>Team 25 (standard seat)</w:t>
            </w:r>
          </w:p>
        </w:tc>
        <w:tc>
          <w:tcPr>
            <w:tcW w:type="dxa" w:w="1644"/>
            <w:tcW w:w="1644" w:type="dxa"/>
          </w:tcPr>
          <w:p>
            <w:pPr>
              <w:spacing w:line="240" w:lineRule="auto" w:after="0"/>
            </w:pPr>
            <w:r/>
            <w:r>
              <w:rPr>
                <w:rFonts w:ascii="Times New Roman" w:hAnsi="Times New Roman" w:cs="Times New Roman" w:eastAsia="Times New Roman"/>
                <w:sz w:val="20"/>
              </w:rPr>
              <w:t>Usage limits</w:t>
            </w:r>
          </w:p>
        </w:tc>
      </w:tr>
      <w:tr>
        <w:trPr>
          <w:cantSplit w:val="true"/>
        </w:trPr>
        <w:tc>
          <w:tcPr>
            <w:tcW w:type="dxa" w:w="1361"/>
            <w:tcW w:w="1360" w:type="dxa"/>
          </w:tcPr>
          <w:p>
            <w:pPr>
              <w:spacing w:line="240" w:lineRule="auto" w:after="0"/>
            </w:pPr>
            <w:r/>
            <w:r>
              <w:rPr>
                <w:rFonts w:ascii="Times New Roman" w:hAnsi="Times New Roman" w:cs="Times New Roman" w:eastAsia="Times New Roman"/>
                <w:sz w:val="20"/>
              </w:rPr>
              <w:t>Gemini [32]</w:t>
            </w:r>
          </w:p>
        </w:tc>
        <w:tc>
          <w:tcPr>
            <w:tcW w:type="dxa" w:w="1701"/>
            <w:tcW w:w="1701" w:type="dxa"/>
          </w:tcPr>
          <w:p>
            <w:pPr>
              <w:spacing w:line="240" w:lineRule="auto" w:after="0"/>
            </w:pPr>
            <w:r/>
            <w:r>
              <w:rPr>
                <w:rFonts w:ascii="Times New Roman" w:hAnsi="Times New Roman" w:cs="Times New Roman" w:eastAsia="Times New Roman"/>
                <w:sz w:val="20"/>
              </w:rPr>
              <w:t>Chat assistant</w:t>
            </w:r>
          </w:p>
        </w:tc>
        <w:tc>
          <w:tcPr>
            <w:tcW w:type="dxa" w:w="1757"/>
            <w:tcW w:w="1757" w:type="dxa"/>
          </w:tcPr>
          <w:p>
            <w:pPr>
              <w:spacing w:line="240" w:lineRule="auto" w:after="0"/>
            </w:pPr>
            <w:r/>
            <w:r>
              <w:rPr>
                <w:rFonts w:ascii="Times New Roman" w:hAnsi="Times New Roman" w:cs="Times New Roman" w:eastAsia="Times New Roman"/>
                <w:sz w:val="20"/>
              </w:rPr>
              <w:t>AI Plus 4.99; AI Pro 19.99</w:t>
            </w:r>
          </w:p>
        </w:tc>
        <w:tc>
          <w:tcPr>
            <w:tcW w:type="dxa" w:w="1757"/>
            <w:tcW w:w="1757" w:type="dxa"/>
          </w:tcPr>
          <w:p>
            <w:pPr>
              <w:spacing w:line="240" w:lineRule="auto" w:after="0"/>
            </w:pPr>
            <w:r/>
            <w:r>
              <w:rPr>
                <w:rFonts w:ascii="Times New Roman" w:hAnsi="Times New Roman" w:cs="Times New Roman" w:eastAsia="Times New Roman"/>
                <w:sz w:val="20"/>
              </w:rPr>
              <w:t>Not listed</w:t>
            </w:r>
          </w:p>
        </w:tc>
        <w:tc>
          <w:tcPr>
            <w:tcW w:type="dxa" w:w="1644"/>
            <w:tcW w:w="1644" w:type="dxa"/>
          </w:tcPr>
          <w:p>
            <w:pPr>
              <w:spacing w:line="240" w:lineRule="auto" w:after="0"/>
            </w:pPr>
            <w:r/>
            <w:r>
              <w:rPr>
                <w:rFonts w:ascii="Times New Roman" w:hAnsi="Times New Roman" w:cs="Times New Roman" w:eastAsia="Times New Roman"/>
                <w:sz w:val="20"/>
              </w:rPr>
              <w:t>Usage limits</w:t>
            </w:r>
          </w:p>
        </w:tc>
      </w:tr>
    </w:tbl>
    <w:p>
      <w:pPr>
        <w:spacing w:after="0"/>
      </w:pPr>
    </w:p>
    <w:p>
      <w:pPr>
        <w:jc w:val="both"/>
      </w:pPr>
      <w:r>
        <w:rPr>
          <w:rFonts w:ascii="Times New Roman" w:hAnsi="Times New Roman" w:cs="Times New Roman" w:eastAsia="Times New Roman"/>
        </w:rPr>
        <w:t>These tools fall into five groups of alternatives to AutoForge. Prompt-to-app builders such as Lovable and Bolt turn a description into a working application in one step, but leave no intermediate artefacts to review, which is the problem this project starts from. Coding assistants such as GitHub Copilot and Cursor make individual developers faster, but they work inside the code and do not produce a specification, an architecture or a test report. Issue-resolution agents such as SWE-agent [5], OpenHands [6] and Agentless [9] work well on existing repositories but assume that the task has already been specified. Role-based multi-agent frameworks such as ChatDev [2] and MetaGPT [3] cover more of the life cycle but review through agent dialogue and do not offer durable human checkpoints. Human-in-the-loop assistants such as HULA [13] confirm that engineers want oversight at the planning stage, but work inside one host tool. Table 7.4 compares them.</w:t>
      </w:r>
    </w:p>
    <w:p>
      <w:pPr>
        <w:pStyle w:val="Caption"/>
        <w:keepNext/>
        <w:jc w:val="center"/>
      </w:pPr>
      <w:r>
        <w:rPr>
          <w:rFonts w:ascii="Times New Roman" w:hAnsi="Times New Roman" w:cs="Times New Roman" w:eastAsia="Times New Roman"/>
        </w:rPr>
        <w:t>Table 7.4: Alternatives and AutoForge's differentiation</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2740"/>
        <w:gridCol w:w="2740"/>
        <w:gridCol w:w="2740"/>
      </w:tblGrid>
      <w:tr>
        <w:trPr>
          <w:tblHeader w:val="true"/>
          <w:cantSplit w:val="true"/>
        </w:trPr>
        <w:tc>
          <w:tcPr>
            <w:tcW w:type="dxa" w:w="2381"/>
            <w:shd w:val="clear" w:color="auto" w:fill="D9D9D9"/>
            <w:tcW w:w="2381" w:type="dxa"/>
          </w:tcPr>
          <w:p>
            <w:pPr>
              <w:spacing w:line="240" w:lineRule="auto" w:after="0"/>
            </w:pPr>
            <w:r/>
            <w:r>
              <w:rPr>
                <w:rFonts w:ascii="Times New Roman" w:hAnsi="Times New Roman" w:cs="Times New Roman" w:eastAsia="Times New Roman"/>
                <w:b/>
                <w:sz w:val="20"/>
              </w:rPr>
              <w:t>Alternative</w:t>
            </w:r>
          </w:p>
        </w:tc>
        <w:tc>
          <w:tcPr>
            <w:tcW w:type="dxa" w:w="2438"/>
            <w:shd w:val="clear" w:color="auto" w:fill="D9D9D9"/>
            <w:tcW w:w="2438" w:type="dxa"/>
          </w:tcPr>
          <w:p>
            <w:pPr>
              <w:spacing w:line="240" w:lineRule="auto" w:after="0"/>
            </w:pPr>
            <w:r/>
            <w:r>
              <w:rPr>
                <w:rFonts w:ascii="Times New Roman" w:hAnsi="Times New Roman" w:cs="Times New Roman" w:eastAsia="Times New Roman"/>
                <w:b/>
                <w:sz w:val="20"/>
              </w:rPr>
              <w:t>Strength</w:t>
            </w:r>
          </w:p>
        </w:tc>
        <w:tc>
          <w:tcPr>
            <w:tcW w:type="dxa" w:w="3402"/>
            <w:shd w:val="clear" w:color="auto" w:fill="D9D9D9"/>
            <w:tcW w:w="3402" w:type="dxa"/>
          </w:tcPr>
          <w:p>
            <w:pPr>
              <w:spacing w:line="240" w:lineRule="auto" w:after="0"/>
            </w:pPr>
            <w:r/>
            <w:r>
              <w:rPr>
                <w:rFonts w:ascii="Times New Roman" w:hAnsi="Times New Roman" w:cs="Times New Roman" w:eastAsia="Times New Roman"/>
                <w:b/>
                <w:sz w:val="20"/>
              </w:rPr>
              <w:t>Gap that AutoForge addresses</w:t>
            </w:r>
          </w:p>
        </w:tc>
      </w:tr>
      <w:tr>
        <w:trPr>
          <w:cantSplit w:val="true"/>
        </w:trPr>
        <w:tc>
          <w:tcPr>
            <w:tcW w:type="dxa" w:w="2381"/>
            <w:tcW w:w="2381" w:type="dxa"/>
          </w:tcPr>
          <w:p>
            <w:pPr>
              <w:spacing w:line="240" w:lineRule="auto" w:after="0"/>
            </w:pPr>
            <w:r/>
            <w:r>
              <w:rPr>
                <w:rFonts w:ascii="Times New Roman" w:hAnsi="Times New Roman" w:cs="Times New Roman" w:eastAsia="Times New Roman"/>
                <w:sz w:val="20"/>
              </w:rPr>
              <w:t>Prompt-to-app builders (Lovable, Bolt)</w:t>
            </w:r>
          </w:p>
        </w:tc>
        <w:tc>
          <w:tcPr>
            <w:tcW w:type="dxa" w:w="2438"/>
            <w:tcW w:w="2438" w:type="dxa"/>
          </w:tcPr>
          <w:p>
            <w:pPr>
              <w:spacing w:line="240" w:lineRule="auto" w:after="0"/>
            </w:pPr>
            <w:r/>
            <w:r>
              <w:rPr>
                <w:rFonts w:ascii="Times New Roman" w:hAnsi="Times New Roman" w:cs="Times New Roman" w:eastAsia="Times New Roman"/>
                <w:sz w:val="20"/>
              </w:rPr>
              <w:t>Very fast first result</w:t>
            </w:r>
          </w:p>
        </w:tc>
        <w:tc>
          <w:tcPr>
            <w:tcW w:type="dxa" w:w="3402"/>
            <w:tcW w:w="3402" w:type="dxa"/>
          </w:tcPr>
          <w:p>
            <w:pPr>
              <w:spacing w:line="240" w:lineRule="auto" w:after="0"/>
            </w:pPr>
            <w:r/>
            <w:r>
              <w:rPr>
                <w:rFonts w:ascii="Times New Roman" w:hAnsi="Times New Roman" w:cs="Times New Roman" w:eastAsia="Times New Roman"/>
                <w:sz w:val="20"/>
              </w:rPr>
              <w:t>No specification, design or diff to review; hard to locate errors</w:t>
            </w:r>
          </w:p>
        </w:tc>
      </w:tr>
      <w:tr>
        <w:trPr>
          <w:cantSplit w:val="true"/>
        </w:trPr>
        <w:tc>
          <w:tcPr>
            <w:tcW w:type="dxa" w:w="2381"/>
            <w:tcW w:w="2381" w:type="dxa"/>
          </w:tcPr>
          <w:p>
            <w:pPr>
              <w:spacing w:line="240" w:lineRule="auto" w:after="0"/>
            </w:pPr>
            <w:r/>
            <w:r>
              <w:rPr>
                <w:rFonts w:ascii="Times New Roman" w:hAnsi="Times New Roman" w:cs="Times New Roman" w:eastAsia="Times New Roman"/>
                <w:sz w:val="20"/>
              </w:rPr>
              <w:t>Coding assistants (GitHub Copilot, Cursor)</w:t>
            </w:r>
          </w:p>
        </w:tc>
        <w:tc>
          <w:tcPr>
            <w:tcW w:type="dxa" w:w="2438"/>
            <w:tcW w:w="2438" w:type="dxa"/>
          </w:tcPr>
          <w:p>
            <w:pPr>
              <w:spacing w:line="240" w:lineRule="auto" w:after="0"/>
            </w:pPr>
            <w:r/>
            <w:r>
              <w:rPr>
                <w:rFonts w:ascii="Times New Roman" w:hAnsi="Times New Roman" w:cs="Times New Roman" w:eastAsia="Times New Roman"/>
                <w:sz w:val="20"/>
              </w:rPr>
              <w:t>Make individual developers faster</w:t>
            </w:r>
          </w:p>
        </w:tc>
        <w:tc>
          <w:tcPr>
            <w:tcW w:type="dxa" w:w="3402"/>
            <w:tcW w:w="3402" w:type="dxa"/>
          </w:tcPr>
          <w:p>
            <w:pPr>
              <w:spacing w:line="240" w:lineRule="auto" w:after="0"/>
            </w:pPr>
            <w:r/>
            <w:r>
              <w:rPr>
                <w:rFonts w:ascii="Times New Roman" w:hAnsi="Times New Roman" w:cs="Times New Roman" w:eastAsia="Times New Roman"/>
                <w:sz w:val="20"/>
              </w:rPr>
              <w:t>Work at the level of code only; no requirements, design, security or QA stages</w:t>
            </w:r>
          </w:p>
        </w:tc>
      </w:tr>
      <w:tr>
        <w:trPr>
          <w:cantSplit w:val="true"/>
        </w:trPr>
        <w:tc>
          <w:tcPr>
            <w:tcW w:type="dxa" w:w="2381"/>
            <w:tcW w:w="2381" w:type="dxa"/>
          </w:tcPr>
          <w:p>
            <w:pPr>
              <w:spacing w:line="240" w:lineRule="auto" w:after="0"/>
            </w:pPr>
            <w:r/>
            <w:r>
              <w:rPr>
                <w:rFonts w:ascii="Times New Roman" w:hAnsi="Times New Roman" w:cs="Times New Roman" w:eastAsia="Times New Roman"/>
                <w:sz w:val="20"/>
              </w:rPr>
              <w:t>Issue-resolution agents (SWE-agent, OpenHands)</w:t>
            </w:r>
          </w:p>
        </w:tc>
        <w:tc>
          <w:tcPr>
            <w:tcW w:type="dxa" w:w="2438"/>
            <w:tcW w:w="2438" w:type="dxa"/>
          </w:tcPr>
          <w:p>
            <w:pPr>
              <w:spacing w:line="240" w:lineRule="auto" w:after="0"/>
            </w:pPr>
            <w:r/>
            <w:r>
              <w:rPr>
                <w:rFonts w:ascii="Times New Roman" w:hAnsi="Times New Roman" w:cs="Times New Roman" w:eastAsia="Times New Roman"/>
                <w:sz w:val="20"/>
              </w:rPr>
              <w:t>Strong on existing codebases</w:t>
            </w:r>
          </w:p>
        </w:tc>
        <w:tc>
          <w:tcPr>
            <w:tcW w:type="dxa" w:w="3402"/>
            <w:tcW w:w="3402" w:type="dxa"/>
          </w:tcPr>
          <w:p>
            <w:pPr>
              <w:spacing w:line="240" w:lineRule="auto" w:after="0"/>
            </w:pPr>
            <w:r/>
            <w:r>
              <w:rPr>
                <w:rFonts w:ascii="Times New Roman" w:hAnsi="Times New Roman" w:cs="Times New Roman" w:eastAsia="Times New Roman"/>
                <w:sz w:val="20"/>
              </w:rPr>
              <w:t>Start from a specified task; no requirements, architecture or UI stages</w:t>
            </w:r>
          </w:p>
        </w:tc>
      </w:tr>
      <w:tr>
        <w:trPr>
          <w:cantSplit w:val="true"/>
        </w:trPr>
        <w:tc>
          <w:tcPr>
            <w:tcW w:type="dxa" w:w="2381"/>
            <w:tcW w:w="2381" w:type="dxa"/>
          </w:tcPr>
          <w:p>
            <w:pPr>
              <w:spacing w:line="240" w:lineRule="auto" w:after="0"/>
            </w:pPr>
            <w:r/>
            <w:r>
              <w:rPr>
                <w:rFonts w:ascii="Times New Roman" w:hAnsi="Times New Roman" w:cs="Times New Roman" w:eastAsia="Times New Roman"/>
                <w:sz w:val="20"/>
              </w:rPr>
              <w:t>Role-based multi-agent frameworks (ChatDev, MetaGPT)</w:t>
            </w:r>
          </w:p>
        </w:tc>
        <w:tc>
          <w:tcPr>
            <w:tcW w:type="dxa" w:w="2438"/>
            <w:tcW w:w="2438" w:type="dxa"/>
          </w:tcPr>
          <w:p>
            <w:pPr>
              <w:spacing w:line="240" w:lineRule="auto" w:after="0"/>
            </w:pPr>
            <w:r/>
            <w:r>
              <w:rPr>
                <w:rFonts w:ascii="Times New Roman" w:hAnsi="Times New Roman" w:cs="Times New Roman" w:eastAsia="Times New Roman"/>
                <w:sz w:val="20"/>
              </w:rPr>
              <w:t>Cover several SDLC phases</w:t>
            </w:r>
          </w:p>
        </w:tc>
        <w:tc>
          <w:tcPr>
            <w:tcW w:type="dxa" w:w="3402"/>
            <w:tcW w:w="3402" w:type="dxa"/>
          </w:tcPr>
          <w:p>
            <w:pPr>
              <w:spacing w:line="240" w:lineRule="auto" w:after="0"/>
            </w:pPr>
            <w:r/>
            <w:r>
              <w:rPr>
                <w:rFonts w:ascii="Times New Roman" w:hAnsi="Times New Roman" w:cs="Times New Roman" w:eastAsia="Times New Roman"/>
                <w:sz w:val="20"/>
              </w:rPr>
              <w:t>Review through agent dialogue; runs lost on interruption; no versioned stage artefacts</w:t>
            </w:r>
          </w:p>
        </w:tc>
      </w:tr>
      <w:tr>
        <w:trPr>
          <w:cantSplit w:val="true"/>
        </w:trPr>
        <w:tc>
          <w:tcPr>
            <w:tcW w:type="dxa" w:w="2381"/>
            <w:tcW w:w="2381" w:type="dxa"/>
          </w:tcPr>
          <w:p>
            <w:pPr>
              <w:spacing w:line="240" w:lineRule="auto" w:after="0"/>
            </w:pPr>
            <w:r/>
            <w:r>
              <w:rPr>
                <w:rFonts w:ascii="Times New Roman" w:hAnsi="Times New Roman" w:cs="Times New Roman" w:eastAsia="Times New Roman"/>
                <w:sz w:val="20"/>
              </w:rPr>
              <w:t>Human-in-the-loop assistants (HULA)</w:t>
            </w:r>
          </w:p>
        </w:tc>
        <w:tc>
          <w:tcPr>
            <w:tcW w:type="dxa" w:w="2438"/>
            <w:tcW w:w="2438" w:type="dxa"/>
          </w:tcPr>
          <w:p>
            <w:pPr>
              <w:spacing w:line="240" w:lineRule="auto" w:after="0"/>
            </w:pPr>
            <w:r/>
            <w:r>
              <w:rPr>
                <w:rFonts w:ascii="Times New Roman" w:hAnsi="Times New Roman" w:cs="Times New Roman" w:eastAsia="Times New Roman"/>
                <w:sz w:val="20"/>
              </w:rPr>
              <w:t>Fit current workflows</w:t>
            </w:r>
          </w:p>
        </w:tc>
        <w:tc>
          <w:tcPr>
            <w:tcW w:type="dxa" w:w="3402"/>
            <w:tcW w:w="3402" w:type="dxa"/>
          </w:tcPr>
          <w:p>
            <w:pPr>
              <w:spacing w:line="240" w:lineRule="auto" w:after="0"/>
            </w:pPr>
            <w:r/>
            <w:r>
              <w:rPr>
                <w:rFonts w:ascii="Times New Roman" w:hAnsi="Times New Roman" w:cs="Times New Roman" w:eastAsia="Times New Roman"/>
                <w:sz w:val="20"/>
              </w:rPr>
              <w:t>Oversight limited to the host tool rather than a full gated pipeline</w:t>
            </w:r>
          </w:p>
        </w:tc>
      </w:tr>
      <w:tr>
        <w:trPr>
          <w:cantSplit w:val="true"/>
        </w:trPr>
        <w:tc>
          <w:tcPr>
            <w:tcW w:type="dxa" w:w="2381"/>
            <w:tcW w:w="2381" w:type="dxa"/>
          </w:tcPr>
          <w:p>
            <w:pPr>
              <w:spacing w:line="240" w:lineRule="auto" w:after="0"/>
            </w:pPr>
            <w:r/>
            <w:r>
              <w:rPr>
                <w:rFonts w:ascii="Times New Roman" w:hAnsi="Times New Roman" w:cs="Times New Roman" w:eastAsia="Times New Roman"/>
                <w:b/>
                <w:sz w:val="20"/>
              </w:rPr>
              <w:t>AutoForge</w:t>
            </w:r>
          </w:p>
        </w:tc>
        <w:tc>
          <w:tcPr>
            <w:tcW w:type="dxa" w:w="2438"/>
            <w:tcW w:w="2438" w:type="dxa"/>
          </w:tcPr>
          <w:p>
            <w:pPr>
              <w:spacing w:line="240" w:lineRule="auto" w:after="0"/>
            </w:pPr>
            <w:r/>
            <w:r>
              <w:rPr>
                <w:rFonts w:ascii="Times New Roman" w:hAnsi="Times New Roman" w:cs="Times New Roman" w:eastAsia="Times New Roman"/>
                <w:b/>
                <w:sz w:val="20"/>
              </w:rPr>
              <w:t>Gate at every stage; versioned artefacts; measured security and QA; local model</w:t>
            </w:r>
          </w:p>
        </w:tc>
        <w:tc>
          <w:tcPr>
            <w:tcW w:type="dxa" w:w="3402"/>
            <w:tcW w:w="3402" w:type="dxa"/>
          </w:tcPr>
          <w:p>
            <w:pPr>
              <w:spacing w:line="240" w:lineRule="auto" w:after="0"/>
            </w:pPr>
            <w:r/>
            <w:r>
              <w:rPr>
                <w:rFonts w:ascii="Times New Roman" w:hAnsi="Times New Roman" w:cs="Times New Roman" w:eastAsia="Times New Roman"/>
                <w:b/>
                <w:sz w:val="20"/>
              </w:rPr>
              <w:t>Currently one domain and one generated stack</w:t>
            </w:r>
          </w:p>
        </w:tc>
      </w:tr>
    </w:tbl>
    <w:p>
      <w:pPr>
        <w:spacing w:after="0"/>
      </w:pPr>
    </w:p>
    <w:p>
      <w:pPr>
        <w:jc w:val="both"/>
      </w:pPr>
      <w:r>
        <w:rPr>
          <w:rFonts w:ascii="Times New Roman" w:hAnsi="Times New Roman" w:cs="Times New Roman" w:eastAsia="Times New Roman"/>
        </w:rPr>
        <w:t>The differentiation that is hardest to copy is not any single feature but the combination, backed by evaluation data. Adding an approval button to an existing generator does not give it durable checkpoints, retrieval-grounded specifications or executable verification, and our results show that each of these contributes something measurable. Two assets also build up over time: the domain knowledge packs, which take expertise to write, and the evaluation method, which lets us show a customer measured results on their own work.</w:t>
      </w:r>
    </w:p>
    <w:p>
      <w:pPr>
        <w:pStyle w:val="Heading2"/>
      </w:pPr>
      <w:r>
        <w:rPr>
          <w:rFonts w:ascii="Times New Roman" w:hAnsi="Times New Roman" w:cs="Times New Roman" w:eastAsia="Times New Roman"/>
        </w:rPr>
        <w:t>7.3 Business model and feasibility</w:t>
      </w:r>
    </w:p>
    <w:p>
      <w:pPr>
        <w:jc w:val="both"/>
      </w:pPr>
      <w:r>
        <w:rPr>
          <w:rFonts w:ascii="Times New Roman" w:hAnsi="Times New Roman" w:cs="Times New Roman" w:eastAsia="Times New Roman"/>
        </w:rPr>
        <w:t>We propose an open-core model, which suits both the local-first design and a student team's resources. The core pipeline is free and self-hosted, and customers pay for what a business needs on top of it. We considered copying the plans of chat assistants such as ChatGPT, Claude and Gemini, which limit the number of messages or queries. That model does not fit AutoForge for two reasons. First, the default model runs on the customer's own machine, so a query costs us nothing to serve and there is nothing to ration. Second, a customer does not value a message; they value a reviewed and tested feature. We therefore follow the coding tools in Table 7.3 and charge for seats and usage, but measure usage in feature runs. A feature run is one feature taken through all seven stages, from requirement to QA report, including revisions.</w:t>
      </w:r>
    </w:p>
    <w:p>
      <w:pPr>
        <w:jc w:val="both"/>
      </w:pPr>
      <w:r>
        <w:rPr>
          <w:rFonts w:ascii="Times New Roman" w:hAnsi="Times New Roman" w:cs="Times New Roman" w:eastAsia="Times New Roman"/>
        </w:rPr>
        <w:t>Table 7.5 sets out the proposed packages. The paid seats are priced just below the LKR 8,260 that teams already pay for ChatGPT Business or Claude Team, and well below Cursor Teams and Lovable Business.</w:t>
      </w:r>
    </w:p>
    <w:p>
      <w:pPr>
        <w:pStyle w:val="Caption"/>
        <w:keepNext/>
        <w:jc w:val="center"/>
      </w:pPr>
      <w:r>
        <w:rPr>
          <w:rFonts w:ascii="Times New Roman" w:hAnsi="Times New Roman" w:cs="Times New Roman" w:eastAsia="Times New Roman"/>
        </w:rPr>
        <w:t>Table 7.5: Proposed AutoForge packages</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1644"/>
        <w:gridCol w:w="1644"/>
        <w:gridCol w:w="1644"/>
        <w:gridCol w:w="1644"/>
        <w:gridCol w:w="1644"/>
      </w:tblGrid>
      <w:tr>
        <w:trPr>
          <w:tblHeader w:val="true"/>
          <w:cantSplit w:val="true"/>
        </w:trPr>
        <w:tc>
          <w:tcPr>
            <w:tcW w:type="dxa" w:w="1247"/>
            <w:shd w:val="clear" w:color="auto" w:fill="D9D9D9"/>
            <w:tcW w:w="1247" w:type="dxa"/>
          </w:tcPr>
          <w:p>
            <w:pPr>
              <w:spacing w:line="240" w:lineRule="auto" w:after="0"/>
            </w:pPr>
            <w:r/>
            <w:r>
              <w:rPr>
                <w:rFonts w:ascii="Times New Roman" w:hAnsi="Times New Roman" w:cs="Times New Roman" w:eastAsia="Times New Roman"/>
                <w:b/>
                <w:sz w:val="20"/>
              </w:rPr>
              <w:t>Package</w:t>
            </w:r>
          </w:p>
        </w:tc>
        <w:tc>
          <w:tcPr>
            <w:tcW w:type="dxa" w:w="1701"/>
            <w:shd w:val="clear" w:color="auto" w:fill="D9D9D9"/>
            <w:tcW w:w="1701" w:type="dxa"/>
          </w:tcPr>
          <w:p>
            <w:pPr>
              <w:spacing w:line="240" w:lineRule="auto" w:after="0"/>
            </w:pPr>
            <w:r/>
            <w:r>
              <w:rPr>
                <w:rFonts w:ascii="Times New Roman" w:hAnsi="Times New Roman" w:cs="Times New Roman" w:eastAsia="Times New Roman"/>
                <w:b/>
                <w:sz w:val="20"/>
              </w:rPr>
              <w:t>Price (LKR)</w:t>
            </w:r>
          </w:p>
        </w:tc>
        <w:tc>
          <w:tcPr>
            <w:tcW w:type="dxa" w:w="1587"/>
            <w:shd w:val="clear" w:color="auto" w:fill="D9D9D9"/>
            <w:tcW w:w="1587" w:type="dxa"/>
          </w:tcPr>
          <w:p>
            <w:pPr>
              <w:spacing w:line="240" w:lineRule="auto" w:after="0"/>
            </w:pPr>
            <w:r/>
            <w:r>
              <w:rPr>
                <w:rFonts w:ascii="Times New Roman" w:hAnsi="Times New Roman" w:cs="Times New Roman" w:eastAsia="Times New Roman"/>
                <w:b/>
                <w:sz w:val="20"/>
              </w:rPr>
              <w:t>Target users</w:t>
            </w:r>
          </w:p>
        </w:tc>
        <w:tc>
          <w:tcPr>
            <w:tcW w:type="dxa" w:w="2438"/>
            <w:shd w:val="clear" w:color="auto" w:fill="D9D9D9"/>
            <w:tcW w:w="2438" w:type="dxa"/>
          </w:tcPr>
          <w:p>
            <w:pPr>
              <w:spacing w:line="240" w:lineRule="auto" w:after="0"/>
            </w:pPr>
            <w:r/>
            <w:r>
              <w:rPr>
                <w:rFonts w:ascii="Times New Roman" w:hAnsi="Times New Roman" w:cs="Times New Roman" w:eastAsia="Times New Roman"/>
                <w:b/>
                <w:sz w:val="20"/>
              </w:rPr>
              <w:t>Main features</w:t>
            </w:r>
          </w:p>
        </w:tc>
        <w:tc>
          <w:tcPr>
            <w:tcW w:type="dxa" w:w="1247"/>
            <w:shd w:val="clear" w:color="auto" w:fill="D9D9D9"/>
            <w:tcW w:w="1247" w:type="dxa"/>
          </w:tcPr>
          <w:p>
            <w:pPr>
              <w:spacing w:line="240" w:lineRule="auto" w:after="0"/>
            </w:pPr>
            <w:r/>
            <w:r>
              <w:rPr>
                <w:rFonts w:ascii="Times New Roman" w:hAnsi="Times New Roman" w:cs="Times New Roman" w:eastAsia="Times New Roman"/>
                <w:b/>
                <w:sz w:val="20"/>
              </w:rPr>
              <w:t>Feature runs</w:t>
            </w:r>
          </w:p>
        </w:tc>
      </w:tr>
      <w:tr>
        <w:trPr>
          <w:cantSplit w:val="true"/>
        </w:trPr>
        <w:tc>
          <w:tcPr>
            <w:tcW w:type="dxa" w:w="1247"/>
            <w:tcW w:w="1247" w:type="dxa"/>
          </w:tcPr>
          <w:p>
            <w:pPr>
              <w:spacing w:line="240" w:lineRule="auto" w:after="0"/>
            </w:pPr>
            <w:r/>
            <w:r>
              <w:rPr>
                <w:rFonts w:ascii="Times New Roman" w:hAnsi="Times New Roman" w:cs="Times New Roman" w:eastAsia="Times New Roman"/>
                <w:sz w:val="20"/>
              </w:rPr>
              <w:t>Community</w:t>
            </w:r>
          </w:p>
        </w:tc>
        <w:tc>
          <w:tcPr>
            <w:tcW w:type="dxa" w:w="1701"/>
            <w:tcW w:w="1701" w:type="dxa"/>
          </w:tcPr>
          <w:p>
            <w:pPr>
              <w:spacing w:line="240" w:lineRule="auto" w:after="0"/>
            </w:pPr>
            <w:r/>
            <w:r>
              <w:rPr>
                <w:rFonts w:ascii="Times New Roman" w:hAnsi="Times New Roman" w:cs="Times New Roman" w:eastAsia="Times New Roman"/>
                <w:sz w:val="20"/>
              </w:rPr>
              <w:t>Free</w:t>
            </w:r>
          </w:p>
        </w:tc>
        <w:tc>
          <w:tcPr>
            <w:tcW w:type="dxa" w:w="1587"/>
            <w:tcW w:w="1587" w:type="dxa"/>
          </w:tcPr>
          <w:p>
            <w:pPr>
              <w:spacing w:line="240" w:lineRule="auto" w:after="0"/>
            </w:pPr>
            <w:r/>
            <w:r>
              <w:rPr>
                <w:rFonts w:ascii="Times New Roman" w:hAnsi="Times New Roman" w:cs="Times New Roman" w:eastAsia="Times New Roman"/>
                <w:sz w:val="20"/>
              </w:rPr>
              <w:t>Students and individual developers</w:t>
            </w:r>
          </w:p>
        </w:tc>
        <w:tc>
          <w:tcPr>
            <w:tcW w:type="dxa" w:w="2438"/>
            <w:tcW w:w="2438" w:type="dxa"/>
          </w:tcPr>
          <w:p>
            <w:pPr>
              <w:spacing w:line="240" w:lineRule="auto" w:after="0"/>
            </w:pPr>
            <w:r/>
            <w:r>
              <w:rPr>
                <w:rFonts w:ascii="Times New Roman" w:hAnsi="Times New Roman" w:cs="Times New Roman" w:eastAsia="Times New Roman"/>
                <w:sz w:val="20"/>
              </w:rPr>
              <w:t>Self-hosted; local model through Ollama; all seven agents; e-commerce knowledge base; one reviewer</w:t>
            </w:r>
          </w:p>
        </w:tc>
        <w:tc>
          <w:tcPr>
            <w:tcW w:type="dxa" w:w="1247"/>
            <w:tcW w:w="1247" w:type="dxa"/>
          </w:tcPr>
          <w:p>
            <w:pPr>
              <w:spacing w:line="240" w:lineRule="auto" w:after="0"/>
            </w:pPr>
            <w:r/>
            <w:r>
              <w:rPr>
                <w:rFonts w:ascii="Times New Roman" w:hAnsi="Times New Roman" w:cs="Times New Roman" w:eastAsia="Times New Roman"/>
                <w:sz w:val="20"/>
              </w:rPr>
              <w:t>Unlimited on own hardware</w:t>
            </w:r>
          </w:p>
        </w:tc>
      </w:tr>
      <w:tr>
        <w:trPr>
          <w:cantSplit w:val="true"/>
        </w:trPr>
        <w:tc>
          <w:tcPr>
            <w:tcW w:type="dxa" w:w="1247"/>
            <w:tcW w:w="1247" w:type="dxa"/>
          </w:tcPr>
          <w:p>
            <w:pPr>
              <w:spacing w:line="240" w:lineRule="auto" w:after="0"/>
            </w:pPr>
            <w:r/>
            <w:r>
              <w:rPr>
                <w:rFonts w:ascii="Times New Roman" w:hAnsi="Times New Roman" w:cs="Times New Roman" w:eastAsia="Times New Roman"/>
                <w:sz w:val="20"/>
              </w:rPr>
              <w:t>Team</w:t>
            </w:r>
          </w:p>
        </w:tc>
        <w:tc>
          <w:tcPr>
            <w:tcW w:type="dxa" w:w="1701"/>
            <w:tcW w:w="1701" w:type="dxa"/>
          </w:tcPr>
          <w:p>
            <w:pPr>
              <w:spacing w:line="240" w:lineRule="auto" w:after="0"/>
            </w:pPr>
            <w:r/>
            <w:r>
              <w:rPr>
                <w:rFonts w:ascii="Times New Roman" w:hAnsi="Times New Roman" w:cs="Times New Roman" w:eastAsia="Times New Roman"/>
                <w:sz w:val="20"/>
              </w:rPr>
              <w:t>6,000 per seat per month (minimum 3 seats; 5,000 if paid yearly)</w:t>
            </w:r>
          </w:p>
        </w:tc>
        <w:tc>
          <w:tcPr>
            <w:tcW w:type="dxa" w:w="1587"/>
            <w:tcW w:w="1587" w:type="dxa"/>
          </w:tcPr>
          <w:p>
            <w:pPr>
              <w:spacing w:line="240" w:lineRule="auto" w:after="0"/>
            </w:pPr>
            <w:r/>
            <w:r>
              <w:rPr>
                <w:rFonts w:ascii="Times New Roman" w:hAnsi="Times New Roman" w:cs="Times New Roman" w:eastAsia="Times New Roman"/>
                <w:sz w:val="20"/>
              </w:rPr>
              <w:t>Small development teams</w:t>
            </w:r>
          </w:p>
        </w:tc>
        <w:tc>
          <w:tcPr>
            <w:tcW w:type="dxa" w:w="2438"/>
            <w:tcW w:w="2438" w:type="dxa"/>
          </w:tcPr>
          <w:p>
            <w:pPr>
              <w:spacing w:line="240" w:lineRule="auto" w:after="0"/>
            </w:pPr>
            <w:r/>
            <w:r>
              <w:rPr>
                <w:rFonts w:ascii="Times New Roman" w:hAnsi="Times New Roman" w:cs="Times New Roman" w:eastAsia="Times New Roman"/>
                <w:sz w:val="20"/>
              </w:rPr>
              <w:t>Hosted pipeline; several reviewers with roles; audit log; version history and revoke</w:t>
            </w:r>
          </w:p>
        </w:tc>
        <w:tc>
          <w:tcPr>
            <w:tcW w:type="dxa" w:w="1247"/>
            <w:tcW w:w="1247" w:type="dxa"/>
          </w:tcPr>
          <w:p>
            <w:pPr>
              <w:spacing w:line="240" w:lineRule="auto" w:after="0"/>
            </w:pPr>
            <w:r/>
            <w:r>
              <w:rPr>
                <w:rFonts w:ascii="Times New Roman" w:hAnsi="Times New Roman" w:cs="Times New Roman" w:eastAsia="Times New Roman"/>
                <w:sz w:val="20"/>
              </w:rPr>
              <w:t>15 per seat, pooled</w:t>
            </w:r>
          </w:p>
        </w:tc>
      </w:tr>
      <w:tr>
        <w:trPr>
          <w:cantSplit w:val="true"/>
        </w:trPr>
        <w:tc>
          <w:tcPr>
            <w:tcW w:type="dxa" w:w="1247"/>
            <w:tcW w:w="1247" w:type="dxa"/>
          </w:tcPr>
          <w:p>
            <w:pPr>
              <w:spacing w:line="240" w:lineRule="auto" w:after="0"/>
            </w:pPr>
            <w:r/>
            <w:r>
              <w:rPr>
                <w:rFonts w:ascii="Times New Roman" w:hAnsi="Times New Roman" w:cs="Times New Roman" w:eastAsia="Times New Roman"/>
                <w:sz w:val="20"/>
              </w:rPr>
              <w:t>Agency</w:t>
            </w:r>
          </w:p>
        </w:tc>
        <w:tc>
          <w:tcPr>
            <w:tcW w:type="dxa" w:w="1701"/>
            <w:tcW w:w="1701" w:type="dxa"/>
          </w:tcPr>
          <w:p>
            <w:pPr>
              <w:spacing w:line="240" w:lineRule="auto" w:after="0"/>
            </w:pPr>
            <w:r/>
            <w:r>
              <w:rPr>
                <w:rFonts w:ascii="Times New Roman" w:hAnsi="Times New Roman" w:cs="Times New Roman" w:eastAsia="Times New Roman"/>
                <w:sz w:val="20"/>
              </w:rPr>
              <w:t>10,000 per seat per month (minimum 3 seats)</w:t>
            </w:r>
          </w:p>
        </w:tc>
        <w:tc>
          <w:tcPr>
            <w:tcW w:type="dxa" w:w="1587"/>
            <w:tcW w:w="1587" w:type="dxa"/>
          </w:tcPr>
          <w:p>
            <w:pPr>
              <w:spacing w:line="240" w:lineRule="auto" w:after="0"/>
            </w:pPr>
            <w:r/>
            <w:r>
              <w:rPr>
                <w:rFonts w:ascii="Times New Roman" w:hAnsi="Times New Roman" w:cs="Times New Roman" w:eastAsia="Times New Roman"/>
                <w:sz w:val="20"/>
              </w:rPr>
              <w:t>Agencies building stores for clients</w:t>
            </w:r>
          </w:p>
        </w:tc>
        <w:tc>
          <w:tcPr>
            <w:tcW w:type="dxa" w:w="2438"/>
            <w:tcW w:w="2438" w:type="dxa"/>
          </w:tcPr>
          <w:p>
            <w:pPr>
              <w:spacing w:line="240" w:lineRule="auto" w:after="0"/>
            </w:pPr>
            <w:r/>
            <w:r>
              <w:rPr>
                <w:rFonts w:ascii="Times New Roman" w:hAnsi="Times New Roman" w:cs="Times New Roman" w:eastAsia="Times New Roman"/>
                <w:sz w:val="20"/>
              </w:rPr>
              <w:t>Team features, plus a workspace and design system per client, client sign-off of page previews, one extra knowledge pack and priority support</w:t>
            </w:r>
          </w:p>
        </w:tc>
        <w:tc>
          <w:tcPr>
            <w:tcW w:type="dxa" w:w="1247"/>
            <w:tcW w:w="1247" w:type="dxa"/>
          </w:tcPr>
          <w:p>
            <w:pPr>
              <w:spacing w:line="240" w:lineRule="auto" w:after="0"/>
            </w:pPr>
            <w:r/>
            <w:r>
              <w:rPr>
                <w:rFonts w:ascii="Times New Roman" w:hAnsi="Times New Roman" w:cs="Times New Roman" w:eastAsia="Times New Roman"/>
                <w:sz w:val="20"/>
              </w:rPr>
              <w:t>30 per seat, pooled</w:t>
            </w:r>
          </w:p>
        </w:tc>
      </w:tr>
      <w:tr>
        <w:trPr>
          <w:cantSplit w:val="true"/>
        </w:trPr>
        <w:tc>
          <w:tcPr>
            <w:tcW w:type="dxa" w:w="1247"/>
            <w:tcW w:w="1247" w:type="dxa"/>
          </w:tcPr>
          <w:p>
            <w:pPr>
              <w:spacing w:line="240" w:lineRule="auto" w:after="0"/>
            </w:pPr>
            <w:r/>
            <w:r>
              <w:rPr>
                <w:rFonts w:ascii="Times New Roman" w:hAnsi="Times New Roman" w:cs="Times New Roman" w:eastAsia="Times New Roman"/>
                <w:sz w:val="20"/>
              </w:rPr>
              <w:t>Enterprise / On-premise</w:t>
            </w:r>
          </w:p>
        </w:tc>
        <w:tc>
          <w:tcPr>
            <w:tcW w:type="dxa" w:w="1701"/>
            <w:tcW w:w="1701" w:type="dxa"/>
          </w:tcPr>
          <w:p>
            <w:pPr>
              <w:spacing w:line="240" w:lineRule="auto" w:after="0"/>
            </w:pPr>
            <w:r/>
            <w:r>
              <w:rPr>
                <w:rFonts w:ascii="Times New Roman" w:hAnsi="Times New Roman" w:cs="Times New Roman" w:eastAsia="Times New Roman"/>
                <w:sz w:val="20"/>
              </w:rPr>
              <w:t>From 1,500,000 per year</w:t>
            </w:r>
          </w:p>
        </w:tc>
        <w:tc>
          <w:tcPr>
            <w:tcW w:type="dxa" w:w="1587"/>
            <w:tcW w:w="1587" w:type="dxa"/>
          </w:tcPr>
          <w:p>
            <w:pPr>
              <w:spacing w:line="240" w:lineRule="auto" w:after="0"/>
            </w:pPr>
            <w:r/>
            <w:r>
              <w:rPr>
                <w:rFonts w:ascii="Times New Roman" w:hAnsi="Times New Roman" w:cs="Times New Roman" w:eastAsia="Times New Roman"/>
                <w:sz w:val="20"/>
              </w:rPr>
              <w:t>Larger firms that keep code in-house</w:t>
            </w:r>
          </w:p>
        </w:tc>
        <w:tc>
          <w:tcPr>
            <w:tcW w:type="dxa" w:w="2438"/>
            <w:tcW w:w="2438" w:type="dxa"/>
          </w:tcPr>
          <w:p>
            <w:pPr>
              <w:spacing w:line="240" w:lineRule="auto" w:after="0"/>
            </w:pPr>
            <w:r/>
            <w:r>
              <w:rPr>
                <w:rFonts w:ascii="Times New Roman" w:hAnsi="Times New Roman" w:cs="Times New Roman" w:eastAsia="Times New Roman"/>
                <w:sz w:val="20"/>
              </w:rPr>
              <w:t>Installed in the customer's network; single sign-on; custom knowledge packs; support agreement</w:t>
            </w:r>
          </w:p>
        </w:tc>
        <w:tc>
          <w:tcPr>
            <w:tcW w:type="dxa" w:w="1247"/>
            <w:tcW w:w="1247" w:type="dxa"/>
          </w:tcPr>
          <w:p>
            <w:pPr>
              <w:spacing w:line="240" w:lineRule="auto" w:after="0"/>
            </w:pPr>
            <w:r/>
            <w:r>
              <w:rPr>
                <w:rFonts w:ascii="Times New Roman" w:hAnsi="Times New Roman" w:cs="Times New Roman" w:eastAsia="Times New Roman"/>
                <w:sz w:val="20"/>
              </w:rPr>
              <w:t>Unlimited on own hardware</w:t>
            </w:r>
          </w:p>
        </w:tc>
      </w:tr>
      <w:tr>
        <w:trPr>
          <w:cantSplit w:val="true"/>
        </w:trPr>
        <w:tc>
          <w:tcPr>
            <w:tcW w:type="dxa" w:w="1247"/>
            <w:tcW w:w="1247" w:type="dxa"/>
          </w:tcPr>
          <w:p>
            <w:pPr>
              <w:spacing w:line="240" w:lineRule="auto" w:after="0"/>
            </w:pPr>
            <w:r/>
            <w:r>
              <w:rPr>
                <w:rFonts w:ascii="Times New Roman" w:hAnsi="Times New Roman" w:cs="Times New Roman" w:eastAsia="Times New Roman"/>
                <w:sz w:val="20"/>
              </w:rPr>
              <w:t>Academic</w:t>
            </w:r>
          </w:p>
        </w:tc>
        <w:tc>
          <w:tcPr>
            <w:tcW w:type="dxa" w:w="1701"/>
            <w:tcW w:w="1701" w:type="dxa"/>
          </w:tcPr>
          <w:p>
            <w:pPr>
              <w:spacing w:line="240" w:lineRule="auto" w:after="0"/>
            </w:pPr>
            <w:r/>
            <w:r>
              <w:rPr>
                <w:rFonts w:ascii="Times New Roman" w:hAnsi="Times New Roman" w:cs="Times New Roman" w:eastAsia="Times New Roman"/>
                <w:sz w:val="20"/>
              </w:rPr>
              <w:t>Free for students; 150,000 per year for a hosted campus lab</w:t>
            </w:r>
          </w:p>
        </w:tc>
        <w:tc>
          <w:tcPr>
            <w:tcW w:type="dxa" w:w="1587"/>
            <w:tcW w:w="1587" w:type="dxa"/>
          </w:tcPr>
          <w:p>
            <w:pPr>
              <w:spacing w:line="240" w:lineRule="auto" w:after="0"/>
            </w:pPr>
            <w:r/>
            <w:r>
              <w:rPr>
                <w:rFonts w:ascii="Times New Roman" w:hAnsi="Times New Roman" w:cs="Times New Roman" w:eastAsia="Times New Roman"/>
                <w:sz w:val="20"/>
              </w:rPr>
              <w:t>Universities</w:t>
            </w:r>
          </w:p>
        </w:tc>
        <w:tc>
          <w:tcPr>
            <w:tcW w:type="dxa" w:w="2438"/>
            <w:tcW w:w="2438" w:type="dxa"/>
          </w:tcPr>
          <w:p>
            <w:pPr>
              <w:spacing w:line="240" w:lineRule="auto" w:after="0"/>
            </w:pPr>
            <w:r/>
            <w:r>
              <w:rPr>
                <w:rFonts w:ascii="Times New Roman" w:hAnsi="Times New Roman" w:cs="Times New Roman" w:eastAsia="Times New Roman"/>
                <w:sz w:val="20"/>
              </w:rPr>
              <w:t>Community features on a shared lab server for up to 100 students</w:t>
            </w:r>
          </w:p>
        </w:tc>
        <w:tc>
          <w:tcPr>
            <w:tcW w:type="dxa" w:w="1247"/>
            <w:tcW w:w="1247" w:type="dxa"/>
          </w:tcPr>
          <w:p>
            <w:pPr>
              <w:spacing w:line="240" w:lineRule="auto" w:after="0"/>
            </w:pPr>
            <w:r/>
            <w:r>
              <w:rPr>
                <w:rFonts w:ascii="Times New Roman" w:hAnsi="Times New Roman" w:cs="Times New Roman" w:eastAsia="Times New Roman"/>
                <w:sz w:val="20"/>
              </w:rPr>
              <w:t>Fair use</w:t>
            </w:r>
          </w:p>
        </w:tc>
      </w:tr>
    </w:tbl>
    <w:p>
      <w:pPr>
        <w:spacing w:after="0"/>
      </w:pPr>
    </w:p>
    <w:p>
      <w:pPr>
        <w:jc w:val="both"/>
      </w:pPr>
      <w:r>
        <w:rPr>
          <w:rFonts w:ascii="Times New Roman" w:hAnsi="Times New Roman" w:cs="Times New Roman" w:eastAsia="Times New Roman"/>
        </w:rPr>
        <w:t>Three further revenue streams sit alongside the packages: extra hosted feature runs at LKR 400 each, domain knowledge packs for other bounded domains such as learning management or hotel booking at LKR 30,000 each, and setup and training services at LKR 75,000 per engagement for early customers. Table 7.6 summarises the business model.</w:t>
      </w:r>
    </w:p>
    <w:p>
      <w:pPr>
        <w:pStyle w:val="Caption"/>
        <w:keepNext/>
        <w:jc w:val="center"/>
      </w:pPr>
      <w:r>
        <w:rPr>
          <w:rFonts w:ascii="Times New Roman" w:hAnsi="Times New Roman" w:cs="Times New Roman" w:eastAsia="Times New Roman"/>
        </w:rPr>
        <w:t>Table 7.6: Business model summary</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4110"/>
        <w:gridCol w:w="4110"/>
      </w:tblGrid>
      <w:tr>
        <w:trPr>
          <w:tblHeader w:val="true"/>
          <w:cantSplit w:val="true"/>
        </w:trPr>
        <w:tc>
          <w:tcPr>
            <w:tcW w:type="dxa" w:w="1984"/>
            <w:shd w:val="clear" w:color="auto" w:fill="D9D9D9"/>
            <w:tcW w:w="1984" w:type="dxa"/>
          </w:tcPr>
          <w:p>
            <w:pPr>
              <w:spacing w:line="240" w:lineRule="auto" w:after="0"/>
            </w:pPr>
            <w:r/>
            <w:r>
              <w:rPr>
                <w:rFonts w:ascii="Times New Roman" w:hAnsi="Times New Roman" w:cs="Times New Roman" w:eastAsia="Times New Roman"/>
                <w:b/>
                <w:sz w:val="20"/>
              </w:rPr>
              <w:t>Element</w:t>
            </w:r>
          </w:p>
        </w:tc>
        <w:tc>
          <w:tcPr>
            <w:tcW w:type="dxa" w:w="6236"/>
            <w:shd w:val="clear" w:color="auto" w:fill="D9D9D9"/>
            <w:tcW w:w="6237" w:type="dxa"/>
          </w:tcPr>
          <w:p>
            <w:pPr>
              <w:spacing w:line="240" w:lineRule="auto" w:after="0"/>
            </w:pPr>
            <w:r/>
            <w:r>
              <w:rPr>
                <w:rFonts w:ascii="Times New Roman" w:hAnsi="Times New Roman" w:cs="Times New Roman" w:eastAsia="Times New Roman"/>
                <w:b/>
                <w:sz w:val="20"/>
              </w:rPr>
              <w:t>Proposal</w:t>
            </w:r>
          </w:p>
        </w:tc>
      </w:tr>
      <w:tr>
        <w:trPr>
          <w:cantSplit w:val="true"/>
        </w:trPr>
        <w:tc>
          <w:tcPr>
            <w:tcW w:type="dxa" w:w="1984"/>
            <w:tcW w:w="1984" w:type="dxa"/>
          </w:tcPr>
          <w:p>
            <w:pPr>
              <w:spacing w:line="240" w:lineRule="auto" w:after="0"/>
            </w:pPr>
            <w:r/>
            <w:r>
              <w:rPr>
                <w:rFonts w:ascii="Times New Roman" w:hAnsi="Times New Roman" w:cs="Times New Roman" w:eastAsia="Times New Roman"/>
                <w:sz w:val="20"/>
              </w:rPr>
              <w:t>Customer segments</w:t>
            </w:r>
          </w:p>
        </w:tc>
        <w:tc>
          <w:tcPr>
            <w:tcW w:type="dxa" w:w="6236"/>
            <w:tcW w:w="6237" w:type="dxa"/>
          </w:tcPr>
          <w:p>
            <w:pPr>
              <w:spacing w:line="240" w:lineRule="auto" w:after="0"/>
            </w:pPr>
            <w:r/>
            <w:r>
              <w:rPr>
                <w:rFonts w:ascii="Times New Roman" w:hAnsi="Times New Roman" w:cs="Times New Roman" w:eastAsia="Times New Roman"/>
                <w:sz w:val="20"/>
              </w:rPr>
              <w:t>Small e-commerce development teams; agencies building stores for clients; universities; later, teams in other bounded domains</w:t>
            </w:r>
          </w:p>
        </w:tc>
      </w:tr>
      <w:tr>
        <w:trPr>
          <w:cantSplit w:val="true"/>
        </w:trPr>
        <w:tc>
          <w:tcPr>
            <w:tcW w:type="dxa" w:w="1984"/>
            <w:tcW w:w="1984" w:type="dxa"/>
          </w:tcPr>
          <w:p>
            <w:pPr>
              <w:spacing w:line="240" w:lineRule="auto" w:after="0"/>
            </w:pPr>
            <w:r/>
            <w:r>
              <w:rPr>
                <w:rFonts w:ascii="Times New Roman" w:hAnsi="Times New Roman" w:cs="Times New Roman" w:eastAsia="Times New Roman"/>
                <w:sz w:val="20"/>
              </w:rPr>
              <w:t>Channels</w:t>
            </w:r>
          </w:p>
        </w:tc>
        <w:tc>
          <w:tcPr>
            <w:tcW w:type="dxa" w:w="6236"/>
            <w:tcW w:w="6237" w:type="dxa"/>
          </w:tcPr>
          <w:p>
            <w:pPr>
              <w:spacing w:line="240" w:lineRule="auto" w:after="0"/>
            </w:pPr>
            <w:r/>
            <w:r>
              <w:rPr>
                <w:rFonts w:ascii="Times New Roman" w:hAnsi="Times New Roman" w:cs="Times New Roman" w:eastAsia="Times New Roman"/>
                <w:sz w:val="20"/>
              </w:rPr>
              <w:t>Open-source Community edition on GitHub; SLASSCOM and industry events; university partnerships; direct sales to agencies</w:t>
            </w:r>
          </w:p>
        </w:tc>
      </w:tr>
      <w:tr>
        <w:trPr>
          <w:cantSplit w:val="true"/>
        </w:trPr>
        <w:tc>
          <w:tcPr>
            <w:tcW w:type="dxa" w:w="1984"/>
            <w:tcW w:w="1984" w:type="dxa"/>
          </w:tcPr>
          <w:p>
            <w:pPr>
              <w:spacing w:line="240" w:lineRule="auto" w:after="0"/>
            </w:pPr>
            <w:r/>
            <w:r>
              <w:rPr>
                <w:rFonts w:ascii="Times New Roman" w:hAnsi="Times New Roman" w:cs="Times New Roman" w:eastAsia="Times New Roman"/>
                <w:sz w:val="20"/>
              </w:rPr>
              <w:t>Key partners</w:t>
            </w:r>
          </w:p>
        </w:tc>
        <w:tc>
          <w:tcPr>
            <w:tcW w:type="dxa" w:w="6236"/>
            <w:tcW w:w="6237" w:type="dxa"/>
          </w:tcPr>
          <w:p>
            <w:pPr>
              <w:spacing w:line="240" w:lineRule="auto" w:after="0"/>
            </w:pPr>
            <w:r/>
            <w:r>
              <w:rPr>
                <w:rFonts w:ascii="Times New Roman" w:hAnsi="Times New Roman" w:cs="Times New Roman" w:eastAsia="Times New Roman"/>
                <w:sz w:val="20"/>
              </w:rPr>
              <w:t>Pilot agencies; open-source projects the system depends on; model providers for the hosted option; SLIIT</w:t>
            </w:r>
          </w:p>
        </w:tc>
      </w:tr>
      <w:tr>
        <w:trPr>
          <w:cantSplit w:val="true"/>
        </w:trPr>
        <w:tc>
          <w:tcPr>
            <w:tcW w:type="dxa" w:w="1984"/>
            <w:tcW w:w="1984" w:type="dxa"/>
          </w:tcPr>
          <w:p>
            <w:pPr>
              <w:spacing w:line="240" w:lineRule="auto" w:after="0"/>
            </w:pPr>
            <w:r/>
            <w:r>
              <w:rPr>
                <w:rFonts w:ascii="Times New Roman" w:hAnsi="Times New Roman" w:cs="Times New Roman" w:eastAsia="Times New Roman"/>
                <w:sz w:val="20"/>
              </w:rPr>
              <w:t>Key resources</w:t>
            </w:r>
          </w:p>
        </w:tc>
        <w:tc>
          <w:tcPr>
            <w:tcW w:type="dxa" w:w="6236"/>
            <w:tcW w:w="6237" w:type="dxa"/>
          </w:tcPr>
          <w:p>
            <w:pPr>
              <w:spacing w:line="240" w:lineRule="auto" w:after="0"/>
            </w:pPr>
            <w:r/>
            <w:r>
              <w:rPr>
                <w:rFonts w:ascii="Times New Roman" w:hAnsi="Times New Roman" w:cs="Times New Roman" w:eastAsia="Times New Roman"/>
                <w:sz w:val="20"/>
              </w:rPr>
              <w:t>The pipeline and its agents; domain knowledge packs; evaluation method and data</w:t>
            </w:r>
          </w:p>
        </w:tc>
      </w:tr>
      <w:tr>
        <w:trPr>
          <w:cantSplit w:val="true"/>
        </w:trPr>
        <w:tc>
          <w:tcPr>
            <w:tcW w:type="dxa" w:w="1984"/>
            <w:tcW w:w="1984" w:type="dxa"/>
          </w:tcPr>
          <w:p>
            <w:pPr>
              <w:spacing w:line="240" w:lineRule="auto" w:after="0"/>
            </w:pPr>
            <w:r/>
            <w:r>
              <w:rPr>
                <w:rFonts w:ascii="Times New Roman" w:hAnsi="Times New Roman" w:cs="Times New Roman" w:eastAsia="Times New Roman"/>
                <w:sz w:val="20"/>
              </w:rPr>
              <w:t>Cost structure</w:t>
            </w:r>
          </w:p>
        </w:tc>
        <w:tc>
          <w:tcPr>
            <w:tcW w:type="dxa" w:w="6236"/>
            <w:tcW w:w="6237" w:type="dxa"/>
          </w:tcPr>
          <w:p>
            <w:pPr>
              <w:spacing w:line="240" w:lineRule="auto" w:after="0"/>
            </w:pPr>
            <w:r/>
            <w:r>
              <w:rPr>
                <w:rFonts w:ascii="Times New Roman" w:hAnsi="Times New Roman" w:cs="Times New Roman" w:eastAsia="Times New Roman"/>
                <w:sz w:val="20"/>
              </w:rPr>
              <w:t>Development and maintenance; hosting and model fees for the hosted option; knowledge pack curation; support</w:t>
            </w:r>
          </w:p>
        </w:tc>
      </w:tr>
      <w:tr>
        <w:trPr>
          <w:cantSplit w:val="true"/>
        </w:trPr>
        <w:tc>
          <w:tcPr>
            <w:tcW w:type="dxa" w:w="1984"/>
            <w:tcW w:w="1984" w:type="dxa"/>
          </w:tcPr>
          <w:p>
            <w:pPr>
              <w:spacing w:line="240" w:lineRule="auto" w:after="0"/>
            </w:pPr>
            <w:r/>
            <w:r>
              <w:rPr>
                <w:rFonts w:ascii="Times New Roman" w:hAnsi="Times New Roman" w:cs="Times New Roman" w:eastAsia="Times New Roman"/>
                <w:sz w:val="20"/>
              </w:rPr>
              <w:t>Revenue streams</w:t>
            </w:r>
          </w:p>
        </w:tc>
        <w:tc>
          <w:tcPr>
            <w:tcW w:type="dxa" w:w="6236"/>
            <w:tcW w:w="6237" w:type="dxa"/>
          </w:tcPr>
          <w:p>
            <w:pPr>
              <w:spacing w:line="240" w:lineRule="auto" w:after="0"/>
            </w:pPr>
            <w:r/>
            <w:r>
              <w:rPr>
                <w:rFonts w:ascii="Times New Roman" w:hAnsi="Times New Roman" w:cs="Times New Roman" w:eastAsia="Times New Roman"/>
                <w:sz w:val="20"/>
              </w:rPr>
              <w:t>Team and Agency subscriptions; enterprise and academic licences; extra feature runs; knowledge packs; setup and training</w:t>
            </w:r>
          </w:p>
        </w:tc>
      </w:tr>
    </w:tbl>
    <w:p>
      <w:pPr>
        <w:spacing w:after="0"/>
      </w:pPr>
    </w:p>
    <w:p>
      <w:pPr>
        <w:jc w:val="both"/>
      </w:pPr>
      <w:r>
        <w:rPr>
          <w:rFonts w:ascii="Times New Roman" w:hAnsi="Times New Roman" w:cs="Times New Roman" w:eastAsia="Times New Roman"/>
        </w:rPr>
        <w:t>Table 7.7 shows the one-time investment made to develop the current system. Human effort accounts for 62.2% of it; the software stack itself is open source.</w:t>
      </w:r>
    </w:p>
    <w:p>
      <w:pPr>
        <w:pStyle w:val="Caption"/>
        <w:keepNext/>
        <w:jc w:val="center"/>
      </w:pPr>
      <w:r>
        <w:rPr>
          <w:rFonts w:ascii="Times New Roman" w:hAnsi="Times New Roman" w:cs="Times New Roman" w:eastAsia="Times New Roman"/>
        </w:rPr>
        <w:t>Table 7.7: One-time development investment</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2740"/>
        <w:gridCol w:w="2740"/>
        <w:gridCol w:w="2740"/>
      </w:tblGrid>
      <w:tr>
        <w:trPr>
          <w:tblHeader w:val="true"/>
          <w:cantSplit w:val="true"/>
        </w:trPr>
        <w:tc>
          <w:tcPr>
            <w:tcW w:type="dxa" w:w="1984"/>
            <w:shd w:val="clear" w:color="auto" w:fill="D9D9D9"/>
            <w:tcW w:w="1984" w:type="dxa"/>
          </w:tcPr>
          <w:p>
            <w:pPr>
              <w:spacing w:line="240" w:lineRule="auto" w:after="0"/>
            </w:pPr>
            <w:r/>
            <w:r>
              <w:rPr>
                <w:rFonts w:ascii="Times New Roman" w:hAnsi="Times New Roman" w:cs="Times New Roman" w:eastAsia="Times New Roman"/>
                <w:b/>
                <w:sz w:val="20"/>
              </w:rPr>
              <w:t>Category</w:t>
            </w:r>
          </w:p>
        </w:tc>
        <w:tc>
          <w:tcPr>
            <w:tcW w:type="dxa" w:w="4535"/>
            <w:shd w:val="clear" w:color="auto" w:fill="D9D9D9"/>
            <w:tcW w:w="4536" w:type="dxa"/>
          </w:tcPr>
          <w:p>
            <w:pPr>
              <w:spacing w:line="240" w:lineRule="auto" w:after="0"/>
            </w:pPr>
            <w:r/>
            <w:r>
              <w:rPr>
                <w:rFonts w:ascii="Times New Roman" w:hAnsi="Times New Roman" w:cs="Times New Roman" w:eastAsia="Times New Roman"/>
                <w:b/>
                <w:sz w:val="20"/>
              </w:rPr>
              <w:t>Item</w:t>
            </w:r>
          </w:p>
        </w:tc>
        <w:tc>
          <w:tcPr>
            <w:tcW w:type="dxa" w:w="1701"/>
            <w:shd w:val="clear" w:color="auto" w:fill="D9D9D9"/>
            <w:tcW w:w="1701" w:type="dxa"/>
          </w:tcPr>
          <w:p>
            <w:pPr>
              <w:spacing w:line="240" w:lineRule="auto" w:after="0"/>
            </w:pPr>
            <w:r/>
            <w:r>
              <w:rPr>
                <w:rFonts w:ascii="Times New Roman" w:hAnsi="Times New Roman" w:cs="Times New Roman" w:eastAsia="Times New Roman"/>
                <w:b/>
                <w:sz w:val="20"/>
              </w:rPr>
              <w:t>Cost (LKR)</w:t>
            </w:r>
          </w:p>
        </w:tc>
      </w:tr>
      <w:tr>
        <w:trPr>
          <w:cantSplit w:val="true"/>
        </w:trPr>
        <w:tc>
          <w:tcPr>
            <w:tcW w:type="dxa" w:w="1984"/>
            <w:tcW w:w="1984" w:type="dxa"/>
          </w:tcPr>
          <w:p>
            <w:pPr>
              <w:spacing w:line="240" w:lineRule="auto" w:after="0"/>
            </w:pPr>
            <w:r/>
            <w:r>
              <w:rPr>
                <w:rFonts w:ascii="Times New Roman" w:hAnsi="Times New Roman" w:cs="Times New Roman" w:eastAsia="Times New Roman"/>
                <w:sz w:val="20"/>
              </w:rPr>
              <w:t>Hardware</w:t>
            </w:r>
          </w:p>
        </w:tc>
        <w:tc>
          <w:tcPr>
            <w:tcW w:type="dxa" w:w="4535"/>
            <w:tcW w:w="4536" w:type="dxa"/>
          </w:tcPr>
          <w:p>
            <w:pPr>
              <w:spacing w:line="240" w:lineRule="auto" w:after="0"/>
            </w:pPr>
            <w:r/>
            <w:r>
              <w:rPr>
                <w:rFonts w:ascii="Times New Roman" w:hAnsi="Times New Roman" w:cs="Times New Roman" w:eastAsia="Times New Roman"/>
                <w:sz w:val="20"/>
              </w:rPr>
              <w:t>RAM upgrade for the development environment</w:t>
            </w:r>
          </w:p>
        </w:tc>
        <w:tc>
          <w:tcPr>
            <w:tcW w:type="dxa" w:w="1701"/>
            <w:tcW w:w="1701" w:type="dxa"/>
          </w:tcPr>
          <w:p>
            <w:pPr>
              <w:spacing w:line="240" w:lineRule="auto" w:after="0"/>
            </w:pPr>
            <w:r/>
            <w:r>
              <w:rPr>
                <w:rFonts w:ascii="Times New Roman" w:hAnsi="Times New Roman" w:cs="Times New Roman" w:eastAsia="Times New Roman"/>
                <w:sz w:val="20"/>
              </w:rPr>
              <w:t>45,000</w:t>
            </w:r>
          </w:p>
        </w:tc>
      </w:tr>
      <w:tr>
        <w:trPr>
          <w:cantSplit w:val="true"/>
        </w:trPr>
        <w:tc>
          <w:tcPr>
            <w:tcW w:type="dxa" w:w="1984"/>
            <w:tcW w:w="1984" w:type="dxa"/>
          </w:tcPr>
          <w:p>
            <w:pPr>
              <w:spacing w:line="240" w:lineRule="auto" w:after="0"/>
            </w:pPr>
            <w:r/>
            <w:r>
              <w:rPr>
                <w:rFonts w:ascii="Times New Roman" w:hAnsi="Times New Roman" w:cs="Times New Roman" w:eastAsia="Times New Roman"/>
                <w:sz w:val="20"/>
              </w:rPr>
              <w:t>Hardware</w:t>
            </w:r>
          </w:p>
        </w:tc>
        <w:tc>
          <w:tcPr>
            <w:tcW w:type="dxa" w:w="4535"/>
            <w:tcW w:w="4536" w:type="dxa"/>
          </w:tcPr>
          <w:p>
            <w:pPr>
              <w:spacing w:line="240" w:lineRule="auto" w:after="0"/>
            </w:pPr>
            <w:r/>
            <w:r>
              <w:rPr>
                <w:rFonts w:ascii="Times New Roman" w:hAnsi="Times New Roman" w:cs="Times New Roman" w:eastAsia="Times New Roman"/>
                <w:sz w:val="20"/>
              </w:rPr>
              <w:t>Shared GPU resource for the local model</w:t>
            </w:r>
          </w:p>
        </w:tc>
        <w:tc>
          <w:tcPr>
            <w:tcW w:type="dxa" w:w="1701"/>
            <w:tcW w:w="1701" w:type="dxa"/>
          </w:tcPr>
          <w:p>
            <w:pPr>
              <w:spacing w:line="240" w:lineRule="auto" w:after="0"/>
            </w:pPr>
            <w:r/>
            <w:r>
              <w:rPr>
                <w:rFonts w:ascii="Times New Roman" w:hAnsi="Times New Roman" w:cs="Times New Roman" w:eastAsia="Times New Roman"/>
                <w:sz w:val="20"/>
              </w:rPr>
              <w:t>59,750</w:t>
            </w:r>
          </w:p>
        </w:tc>
      </w:tr>
      <w:tr>
        <w:trPr>
          <w:cantSplit w:val="true"/>
        </w:trPr>
        <w:tc>
          <w:tcPr>
            <w:tcW w:type="dxa" w:w="1984"/>
            <w:tcW w:w="1984" w:type="dxa"/>
          </w:tcPr>
          <w:p>
            <w:pPr>
              <w:spacing w:line="240" w:lineRule="auto" w:after="0"/>
            </w:pPr>
            <w:r/>
            <w:r>
              <w:rPr>
                <w:rFonts w:ascii="Times New Roman" w:hAnsi="Times New Roman" w:cs="Times New Roman" w:eastAsia="Times New Roman"/>
                <w:sz w:val="20"/>
              </w:rPr>
              <w:t>Software</w:t>
            </w:r>
          </w:p>
        </w:tc>
        <w:tc>
          <w:tcPr>
            <w:tcW w:type="dxa" w:w="4535"/>
            <w:tcW w:w="4536" w:type="dxa"/>
          </w:tcPr>
          <w:p>
            <w:pPr>
              <w:spacing w:line="240" w:lineRule="auto" w:after="0"/>
            </w:pPr>
            <w:r/>
            <w:r>
              <w:rPr>
                <w:rFonts w:ascii="Times New Roman" w:hAnsi="Times New Roman" w:cs="Times New Roman" w:eastAsia="Times New Roman"/>
                <w:sz w:val="20"/>
              </w:rPr>
              <w:t>Software licences and tools</w:t>
            </w:r>
          </w:p>
        </w:tc>
        <w:tc>
          <w:tcPr>
            <w:tcW w:type="dxa" w:w="1701"/>
            <w:tcW w:w="1701" w:type="dxa"/>
          </w:tcPr>
          <w:p>
            <w:pPr>
              <w:spacing w:line="240" w:lineRule="auto" w:after="0"/>
            </w:pPr>
            <w:r/>
            <w:r>
              <w:rPr>
                <w:rFonts w:ascii="Times New Roman" w:hAnsi="Times New Roman" w:cs="Times New Roman" w:eastAsia="Times New Roman"/>
                <w:sz w:val="20"/>
              </w:rPr>
              <w:t>20,000</w:t>
            </w:r>
          </w:p>
        </w:tc>
      </w:tr>
      <w:tr>
        <w:trPr>
          <w:cantSplit w:val="true"/>
        </w:trPr>
        <w:tc>
          <w:tcPr>
            <w:tcW w:type="dxa" w:w="1984"/>
            <w:tcW w:w="1984" w:type="dxa"/>
          </w:tcPr>
          <w:p>
            <w:pPr>
              <w:spacing w:line="240" w:lineRule="auto" w:after="0"/>
            </w:pPr>
            <w:r/>
            <w:r>
              <w:rPr>
                <w:rFonts w:ascii="Times New Roman" w:hAnsi="Times New Roman" w:cs="Times New Roman" w:eastAsia="Times New Roman"/>
                <w:sz w:val="20"/>
              </w:rPr>
              <w:t>Cloud services</w:t>
            </w:r>
          </w:p>
        </w:tc>
        <w:tc>
          <w:tcPr>
            <w:tcW w:type="dxa" w:w="4535"/>
            <w:tcW w:w="4536" w:type="dxa"/>
          </w:tcPr>
          <w:p>
            <w:pPr>
              <w:spacing w:line="240" w:lineRule="auto" w:after="0"/>
            </w:pPr>
            <w:r/>
            <w:r>
              <w:rPr>
                <w:rFonts w:ascii="Times New Roman" w:hAnsi="Times New Roman" w:cs="Times New Roman" w:eastAsia="Times New Roman"/>
                <w:sz w:val="20"/>
              </w:rPr>
              <w:t>Cloud hosting and CI/CD</w:t>
            </w:r>
          </w:p>
        </w:tc>
        <w:tc>
          <w:tcPr>
            <w:tcW w:type="dxa" w:w="1701"/>
            <w:tcW w:w="1701" w:type="dxa"/>
          </w:tcPr>
          <w:p>
            <w:pPr>
              <w:spacing w:line="240" w:lineRule="auto" w:after="0"/>
            </w:pPr>
            <w:r/>
            <w:r>
              <w:rPr>
                <w:rFonts w:ascii="Times New Roman" w:hAnsi="Times New Roman" w:cs="Times New Roman" w:eastAsia="Times New Roman"/>
                <w:sz w:val="20"/>
              </w:rPr>
              <w:t>15,000</w:t>
            </w:r>
          </w:p>
        </w:tc>
      </w:tr>
      <w:tr>
        <w:trPr>
          <w:cantSplit w:val="true"/>
        </w:trPr>
        <w:tc>
          <w:tcPr>
            <w:tcW w:type="dxa" w:w="1984"/>
            <w:tcW w:w="1984" w:type="dxa"/>
          </w:tcPr>
          <w:p>
            <w:pPr>
              <w:spacing w:line="240" w:lineRule="auto" w:after="0"/>
            </w:pPr>
            <w:r/>
            <w:r>
              <w:rPr>
                <w:rFonts w:ascii="Times New Roman" w:hAnsi="Times New Roman" w:cs="Times New Roman" w:eastAsia="Times New Roman"/>
                <w:sz w:val="20"/>
              </w:rPr>
              <w:t>API usage</w:t>
            </w:r>
          </w:p>
        </w:tc>
        <w:tc>
          <w:tcPr>
            <w:tcW w:type="dxa" w:w="4535"/>
            <w:tcW w:w="4536" w:type="dxa"/>
          </w:tcPr>
          <w:p>
            <w:pPr>
              <w:spacing w:line="240" w:lineRule="auto" w:after="0"/>
            </w:pPr>
            <w:r/>
            <w:r>
              <w:rPr>
                <w:rFonts w:ascii="Times New Roman" w:hAnsi="Times New Roman" w:cs="Times New Roman" w:eastAsia="Times New Roman"/>
                <w:sz w:val="20"/>
              </w:rPr>
              <w:t>OpenAI and Anthropic API usage during testing</w:t>
            </w:r>
          </w:p>
        </w:tc>
        <w:tc>
          <w:tcPr>
            <w:tcW w:type="dxa" w:w="1701"/>
            <w:tcW w:w="1701" w:type="dxa"/>
          </w:tcPr>
          <w:p>
            <w:pPr>
              <w:spacing w:line="240" w:lineRule="auto" w:after="0"/>
            </w:pPr>
            <w:r/>
            <w:r>
              <w:rPr>
                <w:rFonts w:ascii="Times New Roman" w:hAnsi="Times New Roman" w:cs="Times New Roman" w:eastAsia="Times New Roman"/>
                <w:sz w:val="20"/>
              </w:rPr>
              <w:t>6,000</w:t>
            </w:r>
          </w:p>
        </w:tc>
      </w:tr>
      <w:tr>
        <w:trPr>
          <w:cantSplit w:val="true"/>
        </w:trPr>
        <w:tc>
          <w:tcPr>
            <w:tcW w:type="dxa" w:w="1984"/>
            <w:tcW w:w="1984" w:type="dxa"/>
          </w:tcPr>
          <w:p>
            <w:pPr>
              <w:spacing w:line="240" w:lineRule="auto" w:after="0"/>
            </w:pPr>
            <w:r/>
            <w:r>
              <w:rPr>
                <w:rFonts w:ascii="Times New Roman" w:hAnsi="Times New Roman" w:cs="Times New Roman" w:eastAsia="Times New Roman"/>
                <w:sz w:val="20"/>
              </w:rPr>
              <w:t>Human effort</w:t>
            </w:r>
          </w:p>
        </w:tc>
        <w:tc>
          <w:tcPr>
            <w:tcW w:type="dxa" w:w="4535"/>
            <w:tcW w:w="4536" w:type="dxa"/>
          </w:tcPr>
          <w:p>
            <w:pPr>
              <w:spacing w:line="240" w:lineRule="auto" w:after="0"/>
            </w:pPr>
            <w:r/>
            <w:r>
              <w:rPr>
                <w:rFonts w:ascii="Times New Roman" w:hAnsi="Times New Roman" w:cs="Times New Roman" w:eastAsia="Times New Roman"/>
                <w:sz w:val="20"/>
              </w:rPr>
              <w:t>System design, implementation, testing and documentation</w:t>
            </w:r>
          </w:p>
        </w:tc>
        <w:tc>
          <w:tcPr>
            <w:tcW w:type="dxa" w:w="1701"/>
            <w:tcW w:w="1701" w:type="dxa"/>
          </w:tcPr>
          <w:p>
            <w:pPr>
              <w:spacing w:line="240" w:lineRule="auto" w:after="0"/>
            </w:pPr>
            <w:r/>
            <w:r>
              <w:rPr>
                <w:rFonts w:ascii="Times New Roman" w:hAnsi="Times New Roman" w:cs="Times New Roman" w:eastAsia="Times New Roman"/>
                <w:sz w:val="20"/>
              </w:rPr>
              <w:t>240,000</w:t>
            </w:r>
          </w:p>
        </w:tc>
      </w:tr>
      <w:tr>
        <w:trPr>
          <w:cantSplit w:val="true"/>
        </w:trPr>
        <w:tc>
          <w:tcPr>
            <w:tcW w:type="dxa" w:w="1984"/>
            <w:tcW w:w="1984" w:type="dxa"/>
          </w:tcPr>
          <w:p>
            <w:pPr>
              <w:spacing w:line="240" w:lineRule="auto" w:after="0"/>
            </w:pPr>
            <w:r/>
            <w:r>
              <w:rPr>
                <w:rFonts w:ascii="Times New Roman" w:hAnsi="Times New Roman" w:cs="Times New Roman" w:eastAsia="Times New Roman"/>
                <w:b/>
                <w:sz w:val="20"/>
              </w:rPr>
              <w:t>Total</w:t>
            </w:r>
          </w:p>
        </w:tc>
        <w:tc>
          <w:tcPr>
            <w:tcW w:type="dxa" w:w="4535"/>
            <w:tcW w:w="4536" w:type="dxa"/>
          </w:tcPr>
          <w:p>
            <w:pPr>
              <w:spacing w:line="240" w:lineRule="auto" w:after="0"/>
            </w:pPr>
            <w:r/>
          </w:p>
        </w:tc>
        <w:tc>
          <w:tcPr>
            <w:tcW w:type="dxa" w:w="1701"/>
            <w:tcW w:w="1701" w:type="dxa"/>
          </w:tcPr>
          <w:p>
            <w:pPr>
              <w:spacing w:line="240" w:lineRule="auto" w:after="0"/>
            </w:pPr>
            <w:r/>
            <w:r>
              <w:rPr>
                <w:rFonts w:ascii="Times New Roman" w:hAnsi="Times New Roman" w:cs="Times New Roman" w:eastAsia="Times New Roman"/>
                <w:b/>
                <w:sz w:val="20"/>
              </w:rPr>
              <w:t>385,750</w:t>
            </w:r>
          </w:p>
        </w:tc>
      </w:tr>
    </w:tbl>
    <w:p>
      <w:pPr>
        <w:spacing w:after="0"/>
      </w:pPr>
    </w:p>
    <w:p>
      <w:pPr>
        <w:jc w:val="both"/>
      </w:pPr>
      <w:r>
        <w:rPr>
          <w:rFonts w:ascii="Times New Roman" w:hAnsi="Times New Roman" w:cs="Times New Roman" w:eastAsia="Times New Roman"/>
        </w:rPr>
        <w:t>Running a hosted service would add monthly costs. We estimate fixed costs of about LKR 100,000 a month: LKR 25,000 for a cloud server running the API, MongoDB and the Docker sandbox; LKR 60,000 for part-time maintenance and support; LKR 10,000 for marketing; and LKR 5,000 for other services. The variable cost of a Team seat is about LKR 1,700 a month, covering model fees, sandbox compute and payment fees, so each Team seat contributes about LKR 4,300. Figure 7.1 shows that the hosted service breaks even at about 24 Team seats, the equivalent of eight small teams of three. At 40 seats it earns about LKR 72,000 a month above its running costs, which recovers the development investment in about five and a half months.</w:t>
      </w:r>
    </w:p>
    <w:p>
      <w:pPr>
        <w:keepNext/>
        <w:jc w:val="center"/>
      </w:pPr>
      <w:r>
        <w:drawing>
          <wp:inline xmlns:a="http://schemas.openxmlformats.org/drawingml/2006/main" xmlns:pic="http://schemas.openxmlformats.org/drawingml/2006/picture">
            <wp:extent cx="5040000" cy="2730000"/>
            <wp:docPr id="1" name="Picture 1"/>
            <wp:cNvGraphicFramePr>
              <a:graphicFrameLocks noChangeAspect="1"/>
            </wp:cNvGraphicFramePr>
            <a:graphic>
              <a:graphicData uri="http://schemas.openxmlformats.org/drawingml/2006/picture">
                <pic:pic>
                  <pic:nvPicPr>
                    <pic:cNvPr id="0" name="breakeven.png"/>
                    <pic:cNvPicPr/>
                  </pic:nvPicPr>
                  <pic:blipFill>
                    <a:blip r:embed="rId9"/>
                    <a:stretch>
                      <a:fillRect/>
                    </a:stretch>
                  </pic:blipFill>
                  <pic:spPr>
                    <a:xfrm>
                      <a:off x="0" y="0"/>
                      <a:ext cx="5040000" cy="2730000"/>
                    </a:xfrm>
                    <a:prstGeom prst="rect"/>
                  </pic:spPr>
                </pic:pic>
              </a:graphicData>
            </a:graphic>
          </wp:inline>
        </w:drawing>
      </w:r>
    </w:p>
    <w:p>
      <w:pPr>
        <w:pStyle w:val="Caption"/>
        <w:spacing w:after="240"/>
        <w:jc w:val="center"/>
      </w:pPr>
      <w:r>
        <w:rPr>
          <w:rFonts w:ascii="Times New Roman" w:hAnsi="Times New Roman" w:cs="Times New Roman" w:eastAsia="Times New Roman"/>
        </w:rPr>
        <w:t>Figure 7.1: Monthly profit of the hosted service by number of Team seats</w:t>
      </w:r>
    </w:p>
    <w:p>
      <w:pPr>
        <w:jc w:val="both"/>
      </w:pPr>
      <w:r>
        <w:rPr>
          <w:rFonts w:ascii="Times New Roman" w:hAnsi="Times New Roman" w:cs="Times New Roman" w:eastAsia="Times New Roman"/>
        </w:rPr>
        <w:t>The technical feasibility of the product is supported by the evaluation itself: the complete pipeline ran end to end on three features of increasing complexity on a single local machine. The cost of each run is also known. Each run used between 25,400 and 47,900 tokens (Table 6.10). With the default local model these tokens carry no API fee. On a hosted model, even if every token were billed at the output price of a current mid-range model, USD 10 per million tokens [31], the largest run would cost about USD 0.48, or LKR 160. A realistic mix of input and output tokens costs about LKR 70. Pricing the hosted option is therefore a calculation rather than a guess.</w:t>
      </w:r>
    </w:p>
    <w:p>
      <w:pPr>
        <w:jc w:val="both"/>
      </w:pPr>
      <w:r>
        <w:rPr>
          <w:rFonts w:ascii="Times New Roman" w:hAnsi="Times New Roman" w:cs="Times New Roman" w:eastAsia="Times New Roman"/>
        </w:rPr>
        <w:t>Operational feasibility is the harder question. A run currently takes between about half an hour and an hour (Table 6.10), plus review time. For a team building a store this is acceptable for a feature that would otherwise take days, but not for quick, interactive edits. The current single-machine deployment would also need to become a multi-user service before it could support paying teams. That means user accounts with separate data for each customer, a job queue so that several runs can happen at once, and one sandbox per run. The cost of the service then grows with the number of feature runs rather than the number of customers.</w:t>
      </w:r>
    </w:p>
    <w:p>
      <w:pPr>
        <w:jc w:val="both"/>
      </w:pPr>
      <w:r>
        <w:rPr>
          <w:rFonts w:ascii="Times New Roman" w:hAnsi="Times New Roman" w:cs="Times New Roman" w:eastAsia="Times New Roman"/>
        </w:rPr>
        <w:t>We will validate the business case in stages before scaling, as Table 7.8 shows. Each phase has a test that it must pass before the next begins. The most important is the design-partner pilot, in which one small agency uses AutoForge on a real client project and we record the same measures as in Chapter 6 on their work instead of ours.</w:t>
      </w:r>
    </w:p>
    <w:p>
      <w:pPr>
        <w:pStyle w:val="Caption"/>
        <w:keepNext/>
        <w:jc w:val="center"/>
      </w:pPr>
      <w:r>
        <w:rPr>
          <w:rFonts w:ascii="Times New Roman" w:hAnsi="Times New Roman" w:cs="Times New Roman" w:eastAsia="Times New Roman"/>
        </w:rPr>
        <w:t>Table 7.8: Validation and launch plan</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2055"/>
        <w:gridCol w:w="2055"/>
        <w:gridCol w:w="2055"/>
        <w:gridCol w:w="2055"/>
      </w:tblGrid>
      <w:tr>
        <w:trPr>
          <w:tblHeader w:val="true"/>
          <w:cantSplit w:val="true"/>
        </w:trPr>
        <w:tc>
          <w:tcPr>
            <w:tcW w:type="dxa" w:w="1474"/>
            <w:shd w:val="clear" w:color="auto" w:fill="D9D9D9"/>
            <w:tcW w:w="1474" w:type="dxa"/>
          </w:tcPr>
          <w:p>
            <w:pPr>
              <w:spacing w:line="240" w:lineRule="auto" w:after="0"/>
            </w:pPr>
            <w:r/>
            <w:r>
              <w:rPr>
                <w:rFonts w:ascii="Times New Roman" w:hAnsi="Times New Roman" w:cs="Times New Roman" w:eastAsia="Times New Roman"/>
                <w:b/>
                <w:sz w:val="20"/>
              </w:rPr>
              <w:t>Phase</w:t>
            </w:r>
          </w:p>
        </w:tc>
        <w:tc>
          <w:tcPr>
            <w:tcW w:type="dxa" w:w="1701"/>
            <w:shd w:val="clear" w:color="auto" w:fill="D9D9D9"/>
            <w:tcW w:w="1701" w:type="dxa"/>
          </w:tcPr>
          <w:p>
            <w:pPr>
              <w:spacing w:line="240" w:lineRule="auto" w:after="0"/>
            </w:pPr>
            <w:r/>
            <w:r>
              <w:rPr>
                <w:rFonts w:ascii="Times New Roman" w:hAnsi="Times New Roman" w:cs="Times New Roman" w:eastAsia="Times New Roman"/>
                <w:b/>
                <w:sz w:val="20"/>
              </w:rPr>
              <w:t>Period</w:t>
            </w:r>
          </w:p>
        </w:tc>
        <w:tc>
          <w:tcPr>
            <w:tcW w:type="dxa" w:w="3118"/>
            <w:shd w:val="clear" w:color="auto" w:fill="D9D9D9"/>
            <w:tcW w:w="3118" w:type="dxa"/>
          </w:tcPr>
          <w:p>
            <w:pPr>
              <w:spacing w:line="240" w:lineRule="auto" w:after="0"/>
            </w:pPr>
            <w:r/>
            <w:r>
              <w:rPr>
                <w:rFonts w:ascii="Times New Roman" w:hAnsi="Times New Roman" w:cs="Times New Roman" w:eastAsia="Times New Roman"/>
                <w:b/>
                <w:sz w:val="20"/>
              </w:rPr>
              <w:t>Activity</w:t>
            </w:r>
          </w:p>
        </w:tc>
        <w:tc>
          <w:tcPr>
            <w:tcW w:type="dxa" w:w="1928"/>
            <w:shd w:val="clear" w:color="auto" w:fill="D9D9D9"/>
            <w:tcW w:w="1927" w:type="dxa"/>
          </w:tcPr>
          <w:p>
            <w:pPr>
              <w:spacing w:line="240" w:lineRule="auto" w:after="0"/>
            </w:pPr>
            <w:r/>
            <w:r>
              <w:rPr>
                <w:rFonts w:ascii="Times New Roman" w:hAnsi="Times New Roman" w:cs="Times New Roman" w:eastAsia="Times New Roman"/>
                <w:b/>
                <w:sz w:val="20"/>
              </w:rPr>
              <w:t>Test to pass</w:t>
            </w:r>
          </w:p>
        </w:tc>
      </w:tr>
      <w:tr>
        <w:trPr>
          <w:cantSplit w:val="true"/>
        </w:trPr>
        <w:tc>
          <w:tcPr>
            <w:tcW w:type="dxa" w:w="1474"/>
            <w:tcW w:w="1474" w:type="dxa"/>
          </w:tcPr>
          <w:p>
            <w:pPr>
              <w:spacing w:line="240" w:lineRule="auto" w:after="0"/>
            </w:pPr>
            <w:r/>
            <w:r>
              <w:rPr>
                <w:rFonts w:ascii="Times New Roman" w:hAnsi="Times New Roman" w:cs="Times New Roman" w:eastAsia="Times New Roman"/>
                <w:sz w:val="20"/>
              </w:rPr>
              <w:t>1. Evidence</w:t>
            </w:r>
          </w:p>
        </w:tc>
        <w:tc>
          <w:tcPr>
            <w:tcW w:type="dxa" w:w="1701"/>
            <w:tcW w:w="1701" w:type="dxa"/>
          </w:tcPr>
          <w:p>
            <w:pPr>
              <w:spacing w:line="240" w:lineRule="auto" w:after="0"/>
            </w:pPr>
            <w:r/>
            <w:r>
              <w:rPr>
                <w:rFonts w:ascii="Times New Roman" w:hAnsi="Times New Roman" w:cs="Times New Roman" w:eastAsia="Times New Roman"/>
                <w:sz w:val="20"/>
              </w:rPr>
              <w:t>To December 2026</w:t>
            </w:r>
          </w:p>
        </w:tc>
        <w:tc>
          <w:tcPr>
            <w:tcW w:type="dxa" w:w="3118"/>
            <w:tcW w:w="3118" w:type="dxa"/>
          </w:tcPr>
          <w:p>
            <w:pPr>
              <w:spacing w:line="240" w:lineRule="auto" w:after="0"/>
            </w:pPr>
            <w:r/>
            <w:r>
              <w:rPr>
                <w:rFonts w:ascii="Times New Roman" w:hAnsi="Times New Roman" w:cs="Times New Roman" w:eastAsia="Times New Roman"/>
                <w:sz w:val="20"/>
              </w:rPr>
              <w:t>Survey, letters of interest and demonstration sessions (Table 7.2)</w:t>
            </w:r>
          </w:p>
        </w:tc>
        <w:tc>
          <w:tcPr>
            <w:tcW w:type="dxa" w:w="1928"/>
            <w:tcW w:w="1927" w:type="dxa"/>
          </w:tcPr>
          <w:p>
            <w:pPr>
              <w:spacing w:line="240" w:lineRule="auto" w:after="0"/>
            </w:pPr>
            <w:r/>
            <w:r>
              <w:rPr>
                <w:rFonts w:ascii="Times New Roman" w:hAnsi="Times New Roman" w:cs="Times New Roman" w:eastAsia="Times New Roman"/>
                <w:sz w:val="20"/>
              </w:rPr>
              <w:t>60% would use a gated pipeline; at least one letter of interest</w:t>
            </w:r>
          </w:p>
        </w:tc>
      </w:tr>
      <w:tr>
        <w:trPr>
          <w:cantSplit w:val="true"/>
        </w:trPr>
        <w:tc>
          <w:tcPr>
            <w:tcW w:type="dxa" w:w="1474"/>
            <w:tcW w:w="1474" w:type="dxa"/>
          </w:tcPr>
          <w:p>
            <w:pPr>
              <w:spacing w:line="240" w:lineRule="auto" w:after="0"/>
            </w:pPr>
            <w:r/>
            <w:r>
              <w:rPr>
                <w:rFonts w:ascii="Times New Roman" w:hAnsi="Times New Roman" w:cs="Times New Roman" w:eastAsia="Times New Roman"/>
                <w:sz w:val="20"/>
              </w:rPr>
              <w:t>2. Pilot</w:t>
            </w:r>
          </w:p>
        </w:tc>
        <w:tc>
          <w:tcPr>
            <w:tcW w:type="dxa" w:w="1701"/>
            <w:tcW w:w="1701" w:type="dxa"/>
          </w:tcPr>
          <w:p>
            <w:pPr>
              <w:spacing w:line="240" w:lineRule="auto" w:after="0"/>
            </w:pPr>
            <w:r/>
            <w:r>
              <w:rPr>
                <w:rFonts w:ascii="Times New Roman" w:hAnsi="Times New Roman" w:cs="Times New Roman" w:eastAsia="Times New Roman"/>
                <w:sz w:val="20"/>
              </w:rPr>
              <w:t>January to March 2027</w:t>
            </w:r>
          </w:p>
        </w:tc>
        <w:tc>
          <w:tcPr>
            <w:tcW w:type="dxa" w:w="3118"/>
            <w:tcW w:w="3118" w:type="dxa"/>
          </w:tcPr>
          <w:p>
            <w:pPr>
              <w:spacing w:line="240" w:lineRule="auto" w:after="0"/>
            </w:pPr>
            <w:r/>
            <w:r>
              <w:rPr>
                <w:rFonts w:ascii="Times New Roman" w:hAnsi="Times New Roman" w:cs="Times New Roman" w:eastAsia="Times New Roman"/>
                <w:sz w:val="20"/>
              </w:rPr>
              <w:t>One agency uses AutoForge free on a client feature; revisions, defects, QA pass rate and review time recorded</w:t>
            </w:r>
          </w:p>
        </w:tc>
        <w:tc>
          <w:tcPr>
            <w:tcW w:type="dxa" w:w="1928"/>
            <w:tcW w:w="1927" w:type="dxa"/>
          </w:tcPr>
          <w:p>
            <w:pPr>
              <w:spacing w:line="240" w:lineRule="auto" w:after="0"/>
            </w:pPr>
            <w:r/>
            <w:r>
              <w:rPr>
                <w:rFonts w:ascii="Times New Roman" w:hAnsi="Times New Roman" w:cs="Times New Roman" w:eastAsia="Times New Roman"/>
                <w:sz w:val="20"/>
              </w:rPr>
              <w:t>At least one developer-day saved per feature; agency willing to pay</w:t>
            </w:r>
          </w:p>
        </w:tc>
      </w:tr>
      <w:tr>
        <w:trPr>
          <w:cantSplit w:val="true"/>
        </w:trPr>
        <w:tc>
          <w:tcPr>
            <w:tcW w:type="dxa" w:w="1474"/>
            <w:tcW w:w="1474" w:type="dxa"/>
          </w:tcPr>
          <w:p>
            <w:pPr>
              <w:spacing w:line="240" w:lineRule="auto" w:after="0"/>
            </w:pPr>
            <w:r/>
            <w:r>
              <w:rPr>
                <w:rFonts w:ascii="Times New Roman" w:hAnsi="Times New Roman" w:cs="Times New Roman" w:eastAsia="Times New Roman"/>
                <w:sz w:val="20"/>
              </w:rPr>
              <w:t>3. Launch</w:t>
            </w:r>
          </w:p>
        </w:tc>
        <w:tc>
          <w:tcPr>
            <w:tcW w:type="dxa" w:w="1701"/>
            <w:tcW w:w="1701" w:type="dxa"/>
          </w:tcPr>
          <w:p>
            <w:pPr>
              <w:spacing w:line="240" w:lineRule="auto" w:after="0"/>
            </w:pPr>
            <w:r/>
            <w:r>
              <w:rPr>
                <w:rFonts w:ascii="Times New Roman" w:hAnsi="Times New Roman" w:cs="Times New Roman" w:eastAsia="Times New Roman"/>
                <w:sz w:val="20"/>
              </w:rPr>
              <w:t>April to June 2027</w:t>
            </w:r>
          </w:p>
        </w:tc>
        <w:tc>
          <w:tcPr>
            <w:tcW w:type="dxa" w:w="3118"/>
            <w:tcW w:w="3118" w:type="dxa"/>
          </w:tcPr>
          <w:p>
            <w:pPr>
              <w:spacing w:line="240" w:lineRule="auto" w:after="0"/>
            </w:pPr>
            <w:r/>
            <w:r>
              <w:rPr>
                <w:rFonts w:ascii="Times New Roman" w:hAnsi="Times New Roman" w:cs="Times New Roman" w:eastAsia="Times New Roman"/>
                <w:sz w:val="20"/>
              </w:rPr>
              <w:t>Community edition published on GitHub; hosted Team beta opened</w:t>
            </w:r>
          </w:p>
        </w:tc>
        <w:tc>
          <w:tcPr>
            <w:tcW w:type="dxa" w:w="1928"/>
            <w:tcW w:w="1927" w:type="dxa"/>
          </w:tcPr>
          <w:p>
            <w:pPr>
              <w:spacing w:line="240" w:lineRule="auto" w:after="0"/>
            </w:pPr>
            <w:r/>
            <w:r>
              <w:rPr>
                <w:rFonts w:ascii="Times New Roman" w:hAnsi="Times New Roman" w:cs="Times New Roman" w:eastAsia="Times New Roman"/>
                <w:sz w:val="20"/>
              </w:rPr>
              <w:t>10 paying seats</w:t>
            </w:r>
          </w:p>
        </w:tc>
      </w:tr>
      <w:tr>
        <w:trPr>
          <w:cantSplit w:val="true"/>
        </w:trPr>
        <w:tc>
          <w:tcPr>
            <w:tcW w:type="dxa" w:w="1474"/>
            <w:tcW w:w="1474" w:type="dxa"/>
          </w:tcPr>
          <w:p>
            <w:pPr>
              <w:spacing w:line="240" w:lineRule="auto" w:after="0"/>
            </w:pPr>
            <w:r/>
            <w:r>
              <w:rPr>
                <w:rFonts w:ascii="Times New Roman" w:hAnsi="Times New Roman" w:cs="Times New Roman" w:eastAsia="Times New Roman"/>
                <w:sz w:val="20"/>
              </w:rPr>
              <w:t>4. Growth</w:t>
            </w:r>
          </w:p>
        </w:tc>
        <w:tc>
          <w:tcPr>
            <w:tcW w:type="dxa" w:w="1701"/>
            <w:tcW w:w="1701" w:type="dxa"/>
          </w:tcPr>
          <w:p>
            <w:pPr>
              <w:spacing w:line="240" w:lineRule="auto" w:after="0"/>
            </w:pPr>
            <w:r/>
            <w:r>
              <w:rPr>
                <w:rFonts w:ascii="Times New Roman" w:hAnsi="Times New Roman" w:cs="Times New Roman" w:eastAsia="Times New Roman"/>
                <w:sz w:val="20"/>
              </w:rPr>
              <w:t>July to December 2027</w:t>
            </w:r>
          </w:p>
        </w:tc>
        <w:tc>
          <w:tcPr>
            <w:tcW w:type="dxa" w:w="3118"/>
            <w:tcW w:w="3118" w:type="dxa"/>
          </w:tcPr>
          <w:p>
            <w:pPr>
              <w:spacing w:line="240" w:lineRule="auto" w:after="0"/>
            </w:pPr>
            <w:r/>
            <w:r>
              <w:rPr>
                <w:rFonts w:ascii="Times New Roman" w:hAnsi="Times New Roman" w:cs="Times New Roman" w:eastAsia="Times New Roman"/>
                <w:sz w:val="20"/>
              </w:rPr>
              <w:t>Agency tier, first paid knowledge pack, outreach to agencies in South Asia</w:t>
            </w:r>
          </w:p>
        </w:tc>
        <w:tc>
          <w:tcPr>
            <w:tcW w:type="dxa" w:w="1928"/>
            <w:tcW w:w="1927" w:type="dxa"/>
          </w:tcPr>
          <w:p>
            <w:pPr>
              <w:spacing w:line="240" w:lineRule="auto" w:after="0"/>
            </w:pPr>
            <w:r/>
            <w:r>
              <w:rPr>
                <w:rFonts w:ascii="Times New Roman" w:hAnsi="Times New Roman" w:cs="Times New Roman" w:eastAsia="Times New Roman"/>
                <w:sz w:val="20"/>
              </w:rPr>
              <w:t>24 seats (break-even)</w:t>
            </w:r>
          </w:p>
        </w:tc>
      </w:tr>
    </w:tbl>
    <w:p>
      <w:pPr>
        <w:spacing w:after="0"/>
      </w:pPr>
    </w:p>
    <w:p>
      <w:pPr>
        <w:pStyle w:val="Heading2"/>
      </w:pPr>
      <w:r>
        <w:rPr>
          <w:rFonts w:ascii="Times New Roman" w:hAnsi="Times New Roman" w:cs="Times New Roman" w:eastAsia="Times New Roman"/>
        </w:rPr>
        <w:t>7.4 Adoption intellectual property and compliance</w:t>
      </w:r>
    </w:p>
    <w:p>
      <w:pPr>
        <w:jc w:val="both"/>
      </w:pPr>
      <w:r>
        <w:rPr>
          <w:rFonts w:ascii="Times New Roman" w:hAnsi="Times New Roman" w:cs="Times New Roman" w:eastAsia="Times New Roman"/>
        </w:rPr>
        <w:t>The main barriers to adoption are trust, time and hardware. Teams that have been disappointed by AI tools may be sceptical; the measured security and QA results are our best answer to this, but a pilot with real users will matter more. Review time is a real cost, and some teams may prefer to gate only the stages they consider critical, which is a direction our discussion of the results already suggests. Running a capable model locally also needs reasonably powerful hardware, which the hosted Team and Agency packages address.</w:t>
      </w:r>
    </w:p>
    <w:p>
      <w:pPr>
        <w:jc w:val="both"/>
      </w:pPr>
      <w:r>
        <w:rPr>
          <w:rFonts w:ascii="Times New Roman" w:hAnsi="Times New Roman" w:cs="Times New Roman" w:eastAsia="Times New Roman"/>
        </w:rPr>
        <w:t>On intellectual property, the code a customer generates with AutoForge belongs to the customer, and the licence terms will say so clearly. The product itself is built on open-source components and on an openly available model, so a licence review of every dependency, and of the model's terms of use, is needed before any commercial release. The domain knowledge packs are written by the team and would remain our property. Ownership of the AutoForge code developed in this project is also subject to the university's intellectual property policy, which would have to be settled before a commercial venture could begin.</w:t>
      </w:r>
    </w:p>
    <w:p>
      <w:pPr>
        <w:jc w:val="both"/>
      </w:pPr>
      <w:r>
        <w:rPr>
          <w:rFonts w:ascii="Times New Roman" w:hAnsi="Times New Roman" w:cs="Times New Roman" w:eastAsia="Times New Roman"/>
        </w:rPr>
        <w:t>Data protection matters at two levels. The stores that AutoForge generates hold personal data such as accounts, addresses and orders. In Sri Lanka they fall under the Personal Data Protection Act, No. 9 of 2022, whose main obligations take effect on 1 January 2027 [25]. Store operators must then process personal data lawfully and transparently, report breaches, carry out impact assessments where required and follow rules on transfers abroad. AutoForge's Security Agent helps by catching exposed credentials and unsafe code, but it does not by itself make a store compliant; that remains the responsibility of the team that builds and runs it. At the level of the tool, the self-hosted editions keep a customer's requirements and code on their own network. The hosted service would itself be a data controller for its users' data, and would have to state clearly which model provider, if any, receives a customer's prompts.</w:t>
      </w:r>
    </w:p>
    <w:p>
      <w:pPr>
        <w:jc w:val="both"/>
      </w:pPr>
      <w:r>
        <w:rPr>
          <w:rFonts w:ascii="Times New Roman" w:hAnsi="Times New Roman" w:cs="Times New Roman" w:eastAsia="Times New Roman"/>
        </w:rPr>
        <w:t>There are also social, ethical and professional aspects to consider. The first is accountability: because every stage has an explicit approval, there is always a named person who accepted each artefact, which is not the case when an AI tool produces finished code directly. The second is transparency: the pipeline records which version was approved, and the QA Agent even records whether each test came from the model or from a template. The third is automation bias, the risk that reviewers start approving whatever the agents produce. Showing reviewers the real git diff, rendered previews and measured findings is meant to make review meaningful, but the risk does not disappear, and training reviewers matters. The last is the effect on work. AutoForge is designed to support developers, not replace them, because a person stays responsible at every stage. Even so, tools like this may reduce some routine development tasks, and that is a real social consideration rather than something to dismiss.</w:t>
      </w:r>
    </w:p>
    <w:p>
      <w:pPr>
        <w:pStyle w:val="Heading2"/>
      </w:pPr>
      <w:r>
        <w:rPr>
          <w:rFonts w:ascii="Times New Roman" w:hAnsi="Times New Roman" w:cs="Times New Roman" w:eastAsia="Times New Roman"/>
        </w:rPr>
        <w:t>7.5 Sustainable Development Goal contribution</w:t>
      </w:r>
    </w:p>
    <w:p>
      <w:pPr>
        <w:jc w:val="both"/>
      </w:pPr>
      <w:r>
        <w:rPr>
          <w:rFonts w:ascii="Times New Roman" w:hAnsi="Times New Roman" w:cs="Times New Roman" w:eastAsia="Times New Roman"/>
        </w:rPr>
        <w:t>Section 1.3 linked the project to SDG 9 (Industry, Innovation and Infrastructure) and SDG 8 (Decent Work and Economic Growth). The plausible contribution to SDG 9 relates to target 9.5, enhancing research and upgrading technological capabilities: AutoForge is a tested, open method for using AI in software engineering under human control, and its free self-hosted edition lets local firms and universities adopt it without depending on expensive external services. The plausible contribution to SDG 8 relates to targets 8.2 and 8.3, higher productivity through technological upgrading and the growth of small and medium-sized enterprises: small development firms could deliver reviewed, tested features faster, and through them small businesses could get more affordable online stores.</w:t>
      </w:r>
    </w:p>
    <w:p>
      <w:pPr>
        <w:jc w:val="both"/>
      </w:pPr>
      <w:r>
        <w:rPr>
          <w:rFonts w:ascii="Times New Roman" w:hAnsi="Times New Roman" w:cs="Times New Roman" w:eastAsia="Times New Roman"/>
        </w:rPr>
        <w:t>Both contributions are potential rather than demonstrated. AutoForge has not yet been deployed with real businesses, so we cannot report actual effects on productivity or growth; the pilot in Table 7.8 is designed to measure them. There are also possible negative effects. Running large models locally uses energy, and wider use could add to it. Reducing routine coding work could reduce opportunities for junior developers to learn by doing that work. To sustain the benefits and limit the harms, we would measure energy and time per feature in every pilot, keep the human review stages as a place where junior developers learn by reviewing and correcting real artefacts, offer the Academic package so that students learn to work with AI under supervision, and continue to publish evaluation results so that claims about the tool can be checked.</w:t>
      </w:r>
    </w:p>
    <w:p>
      <w:pPr/>
      <w:r>
        <w:br w:type="page"/>
      </w:r>
    </w:p>
    <w:p>
      <w:pPr>
        <w:pStyle w:val="Heading1"/>
      </w:pPr>
      <w:r>
        <w:rPr>
          <w:rFonts w:ascii="Times New Roman" w:hAnsi="Times New Roman" w:cs="Times New Roman" w:eastAsia="Times New Roman"/>
        </w:rPr>
        <w:t>REFERENCES TO ADD</w:t>
      </w:r>
    </w:p>
    <w:p>
      <w:pPr/>
      <w:r>
        <w:rPr>
          <w:rFonts w:ascii="Times New Roman" w:hAnsi="Times New Roman" w:cs="Times New Roman" w:eastAsia="Times New Roman"/>
        </w:rPr>
        <w:t>Append these entries to the end of the existing reference list. The numbers continue from it.</w:t>
      </w:r>
    </w:p>
    <w:p>
      <w:pPr>
        <w:spacing w:line="240" w:lineRule="auto" w:after="240"/>
        <w:ind w:left="567" w:hanging="567"/>
      </w:pPr>
      <w:r>
        <w:rPr>
          <w:rFonts w:ascii="Times New Roman" w:hAnsi="Times New Roman" w:cs="Times New Roman" w:eastAsia="Times New Roman"/>
        </w:rPr>
        <w:t>[23] Stack Overflow, “2025 Developer Survey: AI,” 2025. [Online]. Available: https://survey.stackoverflow.co/2025/ai (accessed Oct. 8, 2026).</w:t>
      </w:r>
    </w:p>
    <w:p>
      <w:pPr>
        <w:spacing w:line="240" w:lineRule="auto" w:after="240"/>
        <w:ind w:left="567" w:hanging="567"/>
      </w:pPr>
      <w:r>
        <w:rPr>
          <w:rFonts w:ascii="Times New Roman" w:hAnsi="Times New Roman" w:cs="Times New Roman" w:eastAsia="Times New Roman"/>
        </w:rPr>
        <w:t>[24] “SLASSCOM reflects on a year of creating opportunities, strengthening Sri Lanka’s knowledge and innovation industry,” Daily FT, Jul. 15, 2026. [Online]. Available: https://www.ft.lk/it-telecom-tech/SLASSCOM-reflects-on-a-year-of-creating-opportunities-strengthening-Sri-Lanka-s-knowledge-and-innovation-industry/50-794672 (accessed Oct. 8, 2026).</w:t>
      </w:r>
    </w:p>
    <w:p>
      <w:pPr>
        <w:spacing w:line="240" w:lineRule="auto" w:after="240"/>
        <w:ind w:left="567" w:hanging="567"/>
      </w:pPr>
      <w:r>
        <w:rPr>
          <w:rFonts w:ascii="Times New Roman" w:hAnsi="Times New Roman" w:cs="Times New Roman" w:eastAsia="Times New Roman"/>
        </w:rPr>
        <w:t>[25] “Data protection compliance regime takes effect on 1 Jan. 2027,” Daily FT, 2026. [Online]. Available: https://www.ft.lk/front-page/Data-protection-compliance-regime-takes-effect-on-1-Jan-2027/44-795776 (accessed Oct. 8, 2026).</w:t>
      </w:r>
    </w:p>
    <w:p>
      <w:pPr>
        <w:spacing w:line="240" w:lineRule="auto" w:after="240"/>
        <w:ind w:left="567" w:hanging="567"/>
      </w:pPr>
      <w:r>
        <w:rPr>
          <w:rFonts w:ascii="Times New Roman" w:hAnsi="Times New Roman" w:cs="Times New Roman" w:eastAsia="Times New Roman"/>
        </w:rPr>
        <w:t>[26] GitHub, “GitHub Copilot plans and pricing.” [Online]. Available: https://github.com/features/copilot/plans (accessed Oct. 8, 2026).</w:t>
      </w:r>
    </w:p>
    <w:p>
      <w:pPr>
        <w:spacing w:line="240" w:lineRule="auto" w:after="240"/>
        <w:ind w:left="567" w:hanging="567"/>
      </w:pPr>
      <w:r>
        <w:rPr>
          <w:rFonts w:ascii="Times New Roman" w:hAnsi="Times New Roman" w:cs="Times New Roman" w:eastAsia="Times New Roman"/>
        </w:rPr>
        <w:t>[27] Anysphere, “Cursor pricing.” [Online]. Available: https://cursor.com/pricing (accessed Oct. 8, 2026).</w:t>
      </w:r>
    </w:p>
    <w:p>
      <w:pPr>
        <w:spacing w:line="240" w:lineRule="auto" w:after="240"/>
        <w:ind w:left="567" w:hanging="567"/>
      </w:pPr>
      <w:r>
        <w:rPr>
          <w:rFonts w:ascii="Times New Roman" w:hAnsi="Times New Roman" w:cs="Times New Roman" w:eastAsia="Times New Roman"/>
        </w:rPr>
        <w:t>[28] Lovable, “Subscription plans.” [Online]. Available: https://docs.lovable.dev/introduction/subscription-plans (accessed Oct. 8, 2026).</w:t>
      </w:r>
    </w:p>
    <w:p>
      <w:pPr>
        <w:spacing w:line="240" w:lineRule="auto" w:after="240"/>
        <w:ind w:left="567" w:hanging="567"/>
      </w:pPr>
      <w:r>
        <w:rPr>
          <w:rFonts w:ascii="Times New Roman" w:hAnsi="Times New Roman" w:cs="Times New Roman" w:eastAsia="Times New Roman"/>
        </w:rPr>
        <w:t>[29] StackBlitz, “Bolt pricing.” [Online]. Available: https://bolt.new/pricing (accessed Oct. 8, 2026).</w:t>
      </w:r>
    </w:p>
    <w:p>
      <w:pPr>
        <w:spacing w:line="240" w:lineRule="auto" w:after="240"/>
        <w:ind w:left="567" w:hanging="567"/>
      </w:pPr>
      <w:r>
        <w:rPr>
          <w:rFonts w:ascii="Times New Roman" w:hAnsi="Times New Roman" w:cs="Times New Roman" w:eastAsia="Times New Roman"/>
        </w:rPr>
        <w:t>[30] “ChatGPT pricing in 2026: Free, Go, Plus, Pro, Business and Enterprise,” GPTPrompts.ai. [Online]. Available: https://gptprompts.ai/ai-pricing/chatgpt-pricing (accessed Oct. 8, 2026).</w:t>
      </w:r>
    </w:p>
    <w:p>
      <w:pPr>
        <w:spacing w:line="240" w:lineRule="auto" w:after="240"/>
        <w:ind w:left="567" w:hanging="567"/>
      </w:pPr>
      <w:r>
        <w:rPr>
          <w:rFonts w:ascii="Times New Roman" w:hAnsi="Times New Roman" w:cs="Times New Roman" w:eastAsia="Times New Roman"/>
        </w:rPr>
        <w:t>[31] Anthropic, “Claude pricing.” [Online]. Available: https://claude.com/pricing (accessed Oct. 8, 2026).</w:t>
      </w:r>
    </w:p>
    <w:p>
      <w:pPr>
        <w:spacing w:line="240" w:lineRule="auto" w:after="240"/>
        <w:ind w:left="567" w:hanging="567"/>
      </w:pPr>
      <w:r>
        <w:rPr>
          <w:rFonts w:ascii="Times New Roman" w:hAnsi="Times New Roman" w:cs="Times New Roman" w:eastAsia="Times New Roman"/>
        </w:rPr>
        <w:t>[32] Google, “Google AI subscriptions.” [Online]. Available: https://gemini.google/subscriptions/ (accessed Oct. 8, 2026).</w:t>
      </w:r>
    </w:p>
    <w:p>
      <w:pPr>
        <w:spacing w:line="240" w:lineRule="auto" w:after="240"/>
        <w:ind w:left="567" w:hanging="567"/>
      </w:pPr>
      <w:r>
        <w:rPr>
          <w:rFonts w:ascii="Times New Roman" w:hAnsi="Times New Roman" w:cs="Times New Roman" w:eastAsia="Times New Roman"/>
        </w:rPr>
        <w:t>[33] Exchange-Rates.org, “USD to LKR: Convert US Dollars to Sri Lanka Rupees.” [Online]. Available: https://www.exchange-rates.org/converter/usd-lkr (accessed Oct. 7, 2026).</w:t>
      </w:r>
    </w:p>
    <w:sectPr w:rsidR="00FC693F" w:rsidRPr="0006063C" w:rsidSect="00034616">
      <w:pgSz w:w="11906" w:h="16838"/>
      <w:pgMar w:top="1417" w:right="1417" w:bottom="2268"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s="Times New Roman" w:eastAsia="Times New Roman"/>
      <w:b w:val="0"/>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360"/>
      <w:jc w:val="left"/>
      <w:outlineLvl w:val="0"/>
    </w:pPr>
    <w:rPr>
      <w:rFonts w:ascii="Times New Roman" w:hAnsi="Times New Roman" w:cs="Times New Roman" w:eastAsia="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imes New Roman" w:hAnsi="Times New Roman" w:cs="Times New Roman" w:eastAsia="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imes New Roman" w:hAnsi="Times New Roman" w:cs="Times New Roman" w:eastAsia="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160" w:after="80"/>
    </w:pPr>
    <w:rPr>
      <w:rFonts w:ascii="Times New Roman" w:hAnsi="Times New Roman" w:cs="Times New Roman" w:eastAsia="Times New Roman"/>
      <w:b w:val="0"/>
      <w:bCs/>
      <w:i w:val="0"/>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