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8 COMMERCIALISATION AND SUSTAINABILITY</w:t>
      </w:r>
    </w:p>
    <w:p>
      <w:pPr>
        <w:pStyle w:val="Heading2"/>
      </w:pPr>
      <w:r>
        <w:rPr>
          <w:rFonts w:ascii="Times New Roman" w:hAnsi="Times New Roman" w:cs="Times New Roman" w:eastAsia="Times New Roman"/>
        </w:rPr>
        <w:t>8.1 Value proposition and target users</w:t>
      </w:r>
    </w:p>
    <w:p>
      <w:pPr>
        <w:jc w:val="both"/>
      </w:pPr>
      <w:r>
        <w:rPr>
          <w:rFonts w:ascii="Times New Roman" w:hAnsi="Times New Roman" w:cs="Times New Roman" w:eastAsia="Times New Roman"/>
        </w:rPr>
        <w:t>The team's common report sets out the commercial case for AutoForge as a whole: teams that build software with AI need to see and approve what the AI produced at each stage. My component sits at the start of that process, where the case is strongest. A wrong or missing requirement costs very little to fix while the specification is being reviewed, but it travels into the design, the code and the tests if nobody catches it. Developers already feel this problem with AI tools. In the 2025 Stack Overflow Developer Survey, 66% named AI output that is "almost right, but not quite" as their biggest frustration, and only 32.7% trusted the accuracy of AI output [23]. An AI that guesses the requirement produces exactly that kind of output.</w:t>
      </w:r>
    </w:p>
    <w:p>
      <w:pPr>
        <w:jc w:val="both"/>
      </w:pPr>
      <w:r>
        <w:rPr>
          <w:rFonts w:ascii="Times New Roman" w:hAnsi="Times New Roman" w:cs="Times New Roman" w:eastAsia="Times New Roman"/>
        </w:rPr>
        <w:t>My component offers three things that answer this. The first is a requirement assistant that asks before it assumes: it fills gaps through a short conversation, flags what it had to assume, and will not let a vague specification be confirmed. The second is domain enrichment that only adds what it can cite. In the retrieval experiment, useful domain requirements rose from 8 to 14, missing requirements fell from 7 to 2, and the reviewer needed half as many revisions (Table 6.2). The third is the orchestration layer, which lets any stage wait for a person and resume after a restart; it resumed correctly in 7 of 7 controlled interruptions (Table 6.4). In the Item Listing case study, the requirement gate caught missing Admin and Manager user stories before any design existed (Section 6.2.4). That is the kind of saving a buyer can understand.</w:t>
      </w:r>
    </w:p>
    <w:p>
      <w:pPr>
        <w:jc w:val="both"/>
      </w:pPr>
      <w:r>
        <w:rPr>
          <w:rFonts w:ascii="Times New Roman" w:hAnsi="Times New Roman" w:cs="Times New Roman" w:eastAsia="Times New Roman"/>
        </w:rPr>
        <w:t>Table 8.1 shows who would use the component and what each group gains.</w:t>
      </w:r>
    </w:p>
    <w:p>
      <w:pPr>
        <w:pStyle w:val="Caption"/>
        <w:keepNext/>
        <w:jc w:val="center"/>
      </w:pPr>
      <w:r>
        <w:rPr>
          <w:rFonts w:ascii="Times New Roman" w:hAnsi="Times New Roman" w:cs="Times New Roman" w:eastAsia="Times New Roman"/>
        </w:rPr>
        <w:t>Table 8.1: Target users of the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154"/>
            <w:shd w:val="clear" w:color="auto" w:fill="D9D9D9"/>
            <w:tcW w:w="2154" w:type="dxa"/>
          </w:tcPr>
          <w:p>
            <w:pPr>
              <w:spacing w:line="240" w:lineRule="auto" w:after="0"/>
            </w:pPr>
            <w:r/>
            <w:r>
              <w:rPr>
                <w:rFonts w:ascii="Times New Roman" w:hAnsi="Times New Roman" w:cs="Times New Roman" w:eastAsia="Times New Roman"/>
                <w:b/>
                <w:sz w:val="20"/>
              </w:rPr>
              <w:t>User group</w:t>
            </w:r>
          </w:p>
        </w:tc>
        <w:tc>
          <w:tcPr>
            <w:tcW w:type="dxa" w:w="2665"/>
            <w:shd w:val="clear" w:color="auto" w:fill="D9D9D9"/>
            <w:tcW w:w="2664" w:type="dxa"/>
          </w:tcPr>
          <w:p>
            <w:pPr>
              <w:spacing w:line="240" w:lineRule="auto" w:after="0"/>
            </w:pPr>
            <w:r/>
            <w:r>
              <w:rPr>
                <w:rFonts w:ascii="Times New Roman" w:hAnsi="Times New Roman" w:cs="Times New Roman" w:eastAsia="Times New Roman"/>
                <w:b/>
                <w:sz w:val="20"/>
              </w:rPr>
              <w:t>Need</w:t>
            </w:r>
          </w:p>
        </w:tc>
        <w:tc>
          <w:tcPr>
            <w:tcW w:type="dxa" w:w="3402"/>
            <w:shd w:val="clear" w:color="auto" w:fill="D9D9D9"/>
            <w:tcW w:w="3402" w:type="dxa"/>
          </w:tcPr>
          <w:p>
            <w:pPr>
              <w:spacing w:line="240" w:lineRule="auto" w:after="0"/>
            </w:pPr>
            <w:r/>
            <w:r>
              <w:rPr>
                <w:rFonts w:ascii="Times New Roman" w:hAnsi="Times New Roman" w:cs="Times New Roman" w:eastAsia="Times New Roman"/>
                <w:b/>
                <w:sz w:val="20"/>
              </w:rPr>
              <w:t>What the component provides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Business analysts and project leads in agencies</w:t>
            </w:r>
          </w:p>
        </w:tc>
        <w:tc>
          <w:tcPr>
            <w:tcW w:type="dxa" w:w="2665"/>
            <w:tcW w:w="2664" w:type="dxa"/>
          </w:tcPr>
          <w:p>
            <w:pPr>
              <w:spacing w:line="240" w:lineRule="auto" w:after="0"/>
            </w:pPr>
            <w:r/>
            <w:r>
              <w:rPr>
                <w:rFonts w:ascii="Times New Roman" w:hAnsi="Times New Roman" w:cs="Times New Roman" w:eastAsia="Times New Roman"/>
                <w:sz w:val="20"/>
              </w:rPr>
              <w:t>Turn a short client brief into a complete specification quickly</w:t>
            </w:r>
          </w:p>
        </w:tc>
        <w:tc>
          <w:tcPr>
            <w:tcW w:type="dxa" w:w="3402"/>
            <w:tcW w:w="3402" w:type="dxa"/>
          </w:tcPr>
          <w:p>
            <w:pPr>
              <w:spacing w:line="240" w:lineRule="auto" w:after="0"/>
            </w:pPr>
            <w:r/>
            <w:r>
              <w:rPr>
                <w:rFonts w:ascii="Times New Roman" w:hAnsi="Times New Roman" w:cs="Times New Roman" w:eastAsia="Times New Roman"/>
                <w:sz w:val="20"/>
              </w:rPr>
              <w:t>A guided conversation, a quality gate and an SRS with stable requirement IDs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Developers who write their own requirements</w:t>
            </w:r>
          </w:p>
        </w:tc>
        <w:tc>
          <w:tcPr>
            <w:tcW w:type="dxa" w:w="2665"/>
            <w:tcW w:w="2664" w:type="dxa"/>
          </w:tcPr>
          <w:p>
            <w:pPr>
              <w:spacing w:line="240" w:lineRule="auto" w:after="0"/>
            </w:pPr>
            <w:r/>
            <w:r>
              <w:rPr>
                <w:rFonts w:ascii="Times New Roman" w:hAnsi="Times New Roman" w:cs="Times New Roman" w:eastAsia="Times New Roman"/>
                <w:sz w:val="20"/>
              </w:rPr>
              <w:t>Avoid building the wrong feature</w:t>
            </w:r>
          </w:p>
        </w:tc>
        <w:tc>
          <w:tcPr>
            <w:tcW w:type="dxa" w:w="3402"/>
            <w:tcW w:w="3402" w:type="dxa"/>
          </w:tcPr>
          <w:p>
            <w:pPr>
              <w:spacing w:line="240" w:lineRule="auto" w:after="0"/>
            </w:pPr>
            <w:r/>
            <w:r>
              <w:rPr>
                <w:rFonts w:ascii="Times New Roman" w:hAnsi="Times New Roman" w:cs="Times New Roman" w:eastAsia="Times New Roman"/>
                <w:sz w:val="20"/>
              </w:rPr>
              <w:t>Explicit assumptions and domain additions they can accept or reject</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Clients of those agencies</w:t>
            </w:r>
          </w:p>
        </w:tc>
        <w:tc>
          <w:tcPr>
            <w:tcW w:type="dxa" w:w="2665"/>
            <w:tcW w:w="2664" w:type="dxa"/>
          </w:tcPr>
          <w:p>
            <w:pPr>
              <w:spacing w:line="240" w:lineRule="auto" w:after="0"/>
            </w:pPr>
            <w:r/>
            <w:r>
              <w:rPr>
                <w:rFonts w:ascii="Times New Roman" w:hAnsi="Times New Roman" w:cs="Times New Roman" w:eastAsia="Times New Roman"/>
                <w:sz w:val="20"/>
              </w:rPr>
              <w:t>A specification they can read and sign off</w:t>
            </w:r>
          </w:p>
        </w:tc>
        <w:tc>
          <w:tcPr>
            <w:tcW w:type="dxa" w:w="3402"/>
            <w:tcW w:w="3402" w:type="dxa"/>
          </w:tcPr>
          <w:p>
            <w:pPr>
              <w:spacing w:line="240" w:lineRule="auto" w:after="0"/>
            </w:pPr>
            <w:r/>
            <w:r>
              <w:rPr>
                <w:rFonts w:ascii="Times New Roman" w:hAnsi="Times New Roman" w:cs="Times New Roman" w:eastAsia="Times New Roman"/>
                <w:sz w:val="20"/>
              </w:rPr>
              <w:t>A structured SRS and a short report of what the domain stage added and why</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Teams in other bounded domains</w:t>
            </w:r>
          </w:p>
        </w:tc>
        <w:tc>
          <w:tcPr>
            <w:tcW w:type="dxa" w:w="2665"/>
            <w:tcW w:w="2664" w:type="dxa"/>
          </w:tcPr>
          <w:p>
            <w:pPr>
              <w:spacing w:line="240" w:lineRule="auto" w:after="0"/>
            </w:pPr>
            <w:r/>
            <w:r>
              <w:rPr>
                <w:rFonts w:ascii="Times New Roman" w:hAnsi="Times New Roman" w:cs="Times New Roman" w:eastAsia="Times New Roman"/>
                <w:sz w:val="20"/>
              </w:rPr>
              <w:t>Domain knowledge they do not have in-house</w:t>
            </w:r>
          </w:p>
        </w:tc>
        <w:tc>
          <w:tcPr>
            <w:tcW w:type="dxa" w:w="3402"/>
            <w:tcW w:w="3402" w:type="dxa"/>
          </w:tcPr>
          <w:p>
            <w:pPr>
              <w:spacing w:line="240" w:lineRule="auto" w:after="0"/>
            </w:pPr>
            <w:r/>
            <w:r>
              <w:rPr>
                <w:rFonts w:ascii="Times New Roman" w:hAnsi="Times New Roman" w:cs="Times New Roman" w:eastAsia="Times New Roman"/>
                <w:sz w:val="20"/>
              </w:rPr>
              <w:t>Knowledge packs for domains such as learning management or hotel booking, with no code changes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Any team running a chain of AI agents</w:t>
            </w:r>
          </w:p>
        </w:tc>
        <w:tc>
          <w:tcPr>
            <w:tcW w:type="dxa" w:w="2665"/>
            <w:tcW w:w="2664" w:type="dxa"/>
          </w:tcPr>
          <w:p>
            <w:pPr>
              <w:spacing w:line="240" w:lineRule="auto" w:after="0"/>
            </w:pPr>
            <w:r/>
            <w:r>
              <w:rPr>
                <w:rFonts w:ascii="Times New Roman" w:hAnsi="Times New Roman" w:cs="Times New Roman" w:eastAsia="Times New Roman"/>
                <w:sz w:val="20"/>
              </w:rPr>
              <w:t>Human approval points that survive delays and restarts</w:t>
            </w:r>
          </w:p>
        </w:tc>
        <w:tc>
          <w:tcPr>
            <w:tcW w:type="dxa" w:w="3402"/>
            <w:tcW w:w="3402" w:type="dxa"/>
          </w:tcPr>
          <w:p>
            <w:pPr>
              <w:spacing w:line="240" w:lineRule="auto" w:after="0"/>
            </w:pPr>
            <w:r/>
            <w:r>
              <w:rPr>
                <w:rFonts w:ascii="Times New Roman" w:hAnsi="Times New Roman" w:cs="Times New Roman" w:eastAsia="Times New Roman"/>
                <w:sz w:val="20"/>
              </w:rPr>
              <w:t>A checkpointed state graph with durable approval, revision and revoke</w:t>
            </w:r>
          </w:p>
        </w:tc>
      </w:tr>
    </w:tbl>
    <w:p>
      <w:pPr>
        <w:spacing w:after="0"/>
      </w:pPr>
    </w:p>
    <w:p>
      <w:pPr>
        <w:jc w:val="both"/>
      </w:pPr>
      <w:r>
        <w:rPr>
          <w:rFonts w:ascii="Times New Roman" w:hAnsi="Times New Roman" w:cs="Times New Roman" w:eastAsia="Times New Roman"/>
        </w:rPr>
        <w:t>This evidence comes from our own study, and no external analyst has yet used the component (Section 6.3). The team is therefore surveying developers, analysts and agency staff, as described in Section 7.1 of the common report. For this component the key result is [insert: the percentage of respondents who would want to approve the requirements stage, and the percentage who have lost time to AI output built on a misunderstood requirement].</w:t>
      </w:r>
    </w:p>
    <w:p>
      <w:pPr>
        <w:pStyle w:val="Heading2"/>
      </w:pPr>
      <w:r>
        <w:rPr>
          <w:rFonts w:ascii="Times New Roman" w:hAnsi="Times New Roman" w:cs="Times New Roman" w:eastAsia="Times New Roman"/>
        </w:rPr>
        <w:t>8.2 Market and competitive position</w:t>
      </w:r>
    </w:p>
    <w:p>
      <w:pPr>
        <w:jc w:val="both"/>
      </w:pPr>
      <w:r>
        <w:rPr>
          <w:rFonts w:ascii="Times New Roman" w:hAnsi="Times New Roman" w:cs="Times New Roman" w:eastAsia="Times New Roman"/>
        </w:rPr>
        <w:t>The first market is the one AutoForge targets: small e-commerce development teams and agencies, beginning in Sri Lanka. The country's IT and business process management industry has more than 680 companies and over 700 active startups, employing about 175,000 people [24]. Most of these firms write requirements in some form for every client project, so a tool that shortens that work without lowering its quality has a broad base of potential users.</w:t>
      </w:r>
    </w:p>
    <w:p>
      <w:pPr>
        <w:jc w:val="both"/>
      </w:pPr>
      <w:r>
        <w:rPr>
          <w:rFonts w:ascii="Times New Roman" w:hAnsi="Times New Roman" w:cs="Times New Roman" w:eastAsia="Times New Roman"/>
        </w:rPr>
        <w:t>Table 8.2 compares the component with what these users can do today. The prices are the published team-plan prices in October 2026, converted at 330.43 rupees to the dollar [30].</w:t>
      </w:r>
    </w:p>
    <w:p>
      <w:pPr>
        <w:pStyle w:val="Caption"/>
        <w:keepNext/>
        <w:jc w:val="center"/>
      </w:pPr>
      <w:r>
        <w:rPr>
          <w:rFonts w:ascii="Times New Roman" w:hAnsi="Times New Roman" w:cs="Times New Roman" w:eastAsia="Times New Roman"/>
        </w:rPr>
        <w:t>Table 8.2: Alternatives for producing a feature specification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55"/>
        <w:gridCol w:w="2055"/>
        <w:gridCol w:w="2055"/>
        <w:gridCol w:w="2055"/>
      </w:tblGrid>
      <w:tr>
        <w:trPr>
          <w:tblHeader w:val="true"/>
          <w:cantSplit w:val="true"/>
        </w:trPr>
        <w:tc>
          <w:tcPr>
            <w:tcW w:type="dxa" w:w="1871"/>
            <w:shd w:val="clear" w:color="auto" w:fill="D9D9D9"/>
            <w:tcW w:w="1871" w:type="dxa"/>
          </w:tcPr>
          <w:p>
            <w:pPr>
              <w:spacing w:line="240" w:lineRule="auto" w:after="0"/>
            </w:pPr>
            <w:r/>
            <w:r>
              <w:rPr>
                <w:rFonts w:ascii="Times New Roman" w:hAnsi="Times New Roman" w:cs="Times New Roman" w:eastAsia="Times New Roman"/>
                <w:b/>
                <w:sz w:val="20"/>
              </w:rPr>
              <w:t>Alternative</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Typical cost</w:t>
            </w:r>
          </w:p>
        </w:tc>
        <w:tc>
          <w:tcPr>
            <w:tcW w:type="dxa" w:w="1814"/>
            <w:shd w:val="clear" w:color="auto" w:fill="D9D9D9"/>
            <w:tcW w:w="1814" w:type="dxa"/>
          </w:tcPr>
          <w:p>
            <w:pPr>
              <w:spacing w:line="240" w:lineRule="auto" w:after="0"/>
            </w:pPr>
            <w:r/>
            <w:r>
              <w:rPr>
                <w:rFonts w:ascii="Times New Roman" w:hAnsi="Times New Roman" w:cs="Times New Roman" w:eastAsia="Times New Roman"/>
                <w:b/>
                <w:sz w:val="20"/>
              </w:rPr>
              <w:t>Strength</w:t>
            </w:r>
          </w:p>
        </w:tc>
        <w:tc>
          <w:tcPr>
            <w:tcW w:type="dxa" w:w="2835"/>
            <w:shd w:val="clear" w:color="auto" w:fill="D9D9D9"/>
            <w:tcW w:w="2835" w:type="dxa"/>
          </w:tcPr>
          <w:p>
            <w:pPr>
              <w:spacing w:line="240" w:lineRule="auto" w:after="0"/>
            </w:pPr>
            <w:r/>
            <w:r>
              <w:rPr>
                <w:rFonts w:ascii="Times New Roman" w:hAnsi="Times New Roman" w:cs="Times New Roman" w:eastAsia="Times New Roman"/>
                <w:b/>
                <w:sz w:val="20"/>
              </w:rPr>
              <w:t>Weakness compared with this component</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Writing the SRS by hand</w:t>
            </w:r>
          </w:p>
        </w:tc>
        <w:tc>
          <w:tcPr>
            <w:tcW w:type="dxa" w:w="1701"/>
            <w:tcW w:w="1701" w:type="dxa"/>
          </w:tcPr>
          <w:p>
            <w:pPr>
              <w:spacing w:line="240" w:lineRule="auto" w:after="0"/>
            </w:pPr>
            <w:r/>
            <w:r>
              <w:rPr>
                <w:rFonts w:ascii="Times New Roman" w:hAnsi="Times New Roman" w:cs="Times New Roman" w:eastAsia="Times New Roman"/>
                <w:sz w:val="20"/>
              </w:rPr>
              <w:t>Analyst time (one or more days per feature)</w:t>
            </w:r>
          </w:p>
        </w:tc>
        <w:tc>
          <w:tcPr>
            <w:tcW w:type="dxa" w:w="1814"/>
            <w:tcW w:w="1814" w:type="dxa"/>
          </w:tcPr>
          <w:p>
            <w:pPr>
              <w:spacing w:line="240" w:lineRule="auto" w:after="0"/>
            </w:pPr>
            <w:r/>
            <w:r>
              <w:rPr>
                <w:rFonts w:ascii="Times New Roman" w:hAnsi="Times New Roman" w:cs="Times New Roman" w:eastAsia="Times New Roman"/>
                <w:sz w:val="20"/>
              </w:rPr>
              <w:t>Full control and judgement</w:t>
            </w:r>
          </w:p>
        </w:tc>
        <w:tc>
          <w:tcPr>
            <w:tcW w:type="dxa" w:w="2835"/>
            <w:tcW w:w="2835" w:type="dxa"/>
          </w:tcPr>
          <w:p>
            <w:pPr>
              <w:spacing w:line="240" w:lineRule="auto" w:after="0"/>
            </w:pPr>
            <w:r/>
            <w:r>
              <w:rPr>
                <w:rFonts w:ascii="Times New Roman" w:hAnsi="Times New Roman" w:cs="Times New Roman" w:eastAsia="Times New Roman"/>
                <w:sz w:val="20"/>
              </w:rPr>
              <w:t>Slow; no domain prompts; quality depends on the writer's experience</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General chat assistant (ChatGPT Business, Claude Team)</w:t>
            </w:r>
          </w:p>
        </w:tc>
        <w:tc>
          <w:tcPr>
            <w:tcW w:type="dxa" w:w="1701"/>
            <w:tcW w:w="1701" w:type="dxa"/>
          </w:tcPr>
          <w:p>
            <w:pPr>
              <w:spacing w:line="240" w:lineRule="auto" w:after="0"/>
            </w:pPr>
            <w:r/>
            <w:r>
              <w:rPr>
                <w:rFonts w:ascii="Times New Roman" w:hAnsi="Times New Roman" w:cs="Times New Roman" w:eastAsia="Times New Roman"/>
                <w:sz w:val="20"/>
              </w:rPr>
              <w:t>USD 25 (about LKR 8,260) per user per month [26], [27]</w:t>
            </w:r>
          </w:p>
        </w:tc>
        <w:tc>
          <w:tcPr>
            <w:tcW w:type="dxa" w:w="1814"/>
            <w:tcW w:w="1814" w:type="dxa"/>
          </w:tcPr>
          <w:p>
            <w:pPr>
              <w:spacing w:line="240" w:lineRule="auto" w:after="0"/>
            </w:pPr>
            <w:r/>
            <w:r>
              <w:rPr>
                <w:rFonts w:ascii="Times New Roman" w:hAnsi="Times New Roman" w:cs="Times New Roman" w:eastAsia="Times New Roman"/>
                <w:sz w:val="20"/>
              </w:rPr>
              <w:t>Fast and flexible</w:t>
            </w:r>
          </w:p>
        </w:tc>
        <w:tc>
          <w:tcPr>
            <w:tcW w:type="dxa" w:w="2835"/>
            <w:tcW w:w="2835" w:type="dxa"/>
          </w:tcPr>
          <w:p>
            <w:pPr>
              <w:spacing w:line="240" w:lineRule="auto" w:after="0"/>
            </w:pPr>
            <w:r/>
            <w:r>
              <w:rPr>
                <w:rFonts w:ascii="Times New Roman" w:hAnsi="Times New Roman" w:cs="Times New Roman" w:eastAsia="Times New Roman"/>
                <w:sz w:val="20"/>
              </w:rPr>
              <w:t>Fills gaps silently; no fixed structure or stable IDs; nothing stops a vague draft</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Prompt-to-app builders (Lovable, Bolt)</w:t>
            </w:r>
          </w:p>
        </w:tc>
        <w:tc>
          <w:tcPr>
            <w:tcW w:type="dxa" w:w="1701"/>
            <w:tcW w:w="1701" w:type="dxa"/>
          </w:tcPr>
          <w:p>
            <w:pPr>
              <w:spacing w:line="240" w:lineRule="auto" w:after="0"/>
            </w:pPr>
            <w:r/>
            <w:r>
              <w:rPr>
                <w:rFonts w:ascii="Times New Roman" w:hAnsi="Times New Roman" w:cs="Times New Roman" w:eastAsia="Times New Roman"/>
                <w:sz w:val="20"/>
              </w:rPr>
              <w:t>USD 25 to 50 per user per month [28], [29]</w:t>
            </w:r>
          </w:p>
        </w:tc>
        <w:tc>
          <w:tcPr>
            <w:tcW w:type="dxa" w:w="1814"/>
            <w:tcW w:w="1814" w:type="dxa"/>
          </w:tcPr>
          <w:p>
            <w:pPr>
              <w:spacing w:line="240" w:lineRule="auto" w:after="0"/>
            </w:pPr>
            <w:r/>
            <w:r>
              <w:rPr>
                <w:rFonts w:ascii="Times New Roman" w:hAnsi="Times New Roman" w:cs="Times New Roman" w:eastAsia="Times New Roman"/>
                <w:sz w:val="20"/>
              </w:rPr>
              <w:t>Working app in minutes</w:t>
            </w:r>
          </w:p>
        </w:tc>
        <w:tc>
          <w:tcPr>
            <w:tcW w:type="dxa" w:w="2835"/>
            <w:tcW w:w="2835" w:type="dxa"/>
          </w:tcPr>
          <w:p>
            <w:pPr>
              <w:spacing w:line="240" w:lineRule="auto" w:after="0"/>
            </w:pPr>
            <w:r/>
            <w:r>
              <w:rPr>
                <w:rFonts w:ascii="Times New Roman" w:hAnsi="Times New Roman" w:cs="Times New Roman" w:eastAsia="Times New Roman"/>
                <w:sz w:val="20"/>
              </w:rPr>
              <w:t>Skip the specification altogether; nothing for a client to sign off</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Role-based frameworks such as MetaGPT [2]</w:t>
            </w:r>
          </w:p>
        </w:tc>
        <w:tc>
          <w:tcPr>
            <w:tcW w:type="dxa" w:w="1701"/>
            <w:tcW w:w="1701" w:type="dxa"/>
          </w:tcPr>
          <w:p>
            <w:pPr>
              <w:spacing w:line="240" w:lineRule="auto" w:after="0"/>
            </w:pPr>
            <w:r/>
            <w:r>
              <w:rPr>
                <w:rFonts w:ascii="Times New Roman" w:hAnsi="Times New Roman" w:cs="Times New Roman" w:eastAsia="Times New Roman"/>
                <w:sz w:val="20"/>
              </w:rPr>
              <w:t>Free (open source)</w:t>
            </w:r>
          </w:p>
        </w:tc>
        <w:tc>
          <w:tcPr>
            <w:tcW w:type="dxa" w:w="1814"/>
            <w:tcW w:w="1814" w:type="dxa"/>
          </w:tcPr>
          <w:p>
            <w:pPr>
              <w:spacing w:line="240" w:lineRule="auto" w:after="0"/>
            </w:pPr>
            <w:r/>
            <w:r>
              <w:rPr>
                <w:rFonts w:ascii="Times New Roman" w:hAnsi="Times New Roman" w:cs="Times New Roman" w:eastAsia="Times New Roman"/>
                <w:sz w:val="20"/>
              </w:rPr>
              <w:t>Specification is part of a larger pipeline</w:t>
            </w:r>
          </w:p>
        </w:tc>
        <w:tc>
          <w:tcPr>
            <w:tcW w:type="dxa" w:w="2835"/>
            <w:tcW w:w="2835" w:type="dxa"/>
          </w:tcPr>
          <w:p>
            <w:pPr>
              <w:spacing w:line="240" w:lineRule="auto" w:after="0"/>
            </w:pPr>
            <w:r/>
            <w:r>
              <w:rPr>
                <w:rFonts w:ascii="Times New Roman" w:hAnsi="Times New Roman" w:cs="Times New Roman" w:eastAsia="Times New Roman"/>
                <w:sz w:val="20"/>
              </w:rPr>
              <w:t>Written from model knowledge only; no human gate or durable pause</w:t>
            </w:r>
          </w:p>
        </w:tc>
      </w:tr>
      <w:tr>
        <w:trPr>
          <w:cantSplit w:val="true"/>
        </w:trPr>
        <w:tc>
          <w:tcPr>
            <w:tcW w:type="dxa" w:w="1871"/>
            <w:tcW w:w="1871" w:type="dxa"/>
          </w:tcPr>
          <w:p>
            <w:pPr>
              <w:spacing w:line="240" w:lineRule="auto" w:after="0"/>
            </w:pPr>
            <w:r/>
            <w:r>
              <w:rPr>
                <w:rFonts w:ascii="Times New Roman" w:hAnsi="Times New Roman" w:cs="Times New Roman" w:eastAsia="Times New Roman"/>
                <w:sz w:val="20"/>
              </w:rPr>
              <w:t>This component (within AutoForge)</w:t>
            </w:r>
          </w:p>
        </w:tc>
        <w:tc>
          <w:tcPr>
            <w:tcW w:type="dxa" w:w="1701"/>
            <w:tcW w:w="1701" w:type="dxa"/>
          </w:tcPr>
          <w:p>
            <w:pPr>
              <w:spacing w:line="240" w:lineRule="auto" w:after="0"/>
            </w:pPr>
            <w:r/>
            <w:r>
              <w:rPr>
                <w:rFonts w:ascii="Times New Roman" w:hAnsi="Times New Roman" w:cs="Times New Roman" w:eastAsia="Times New Roman"/>
                <w:sz w:val="20"/>
              </w:rPr>
              <w:t>Included from the free Community edition</w:t>
            </w:r>
          </w:p>
        </w:tc>
        <w:tc>
          <w:tcPr>
            <w:tcW w:type="dxa" w:w="1814"/>
            <w:tcW w:w="1814" w:type="dxa"/>
          </w:tcPr>
          <w:p>
            <w:pPr>
              <w:spacing w:line="240" w:lineRule="auto" w:after="0"/>
            </w:pPr>
            <w:r/>
            <w:r>
              <w:rPr>
                <w:rFonts w:ascii="Times New Roman" w:hAnsi="Times New Roman" w:cs="Times New Roman" w:eastAsia="Times New Roman"/>
                <w:sz w:val="20"/>
              </w:rPr>
              <w:t>Asks for gaps; quality gate; cited enrichment; stable IDs; durable approval</w:t>
            </w:r>
          </w:p>
        </w:tc>
        <w:tc>
          <w:tcPr>
            <w:tcW w:type="dxa" w:w="2835"/>
            <w:tcW w:w="2835" w:type="dxa"/>
          </w:tcPr>
          <w:p>
            <w:pPr>
              <w:spacing w:line="240" w:lineRule="auto" w:after="0"/>
            </w:pPr>
            <w:r/>
            <w:r>
              <w:rPr>
                <w:rFonts w:ascii="Times New Roman" w:hAnsi="Times New Roman" w:cs="Times New Roman" w:eastAsia="Times New Roman"/>
                <w:sz w:val="20"/>
              </w:rPr>
              <w:t>Slower than a single prompt; domain quality depends on the knowledge base</w:t>
            </w:r>
          </w:p>
        </w:tc>
      </w:tr>
    </w:tbl>
    <w:p>
      <w:pPr>
        <w:spacing w:after="0"/>
      </w:pPr>
    </w:p>
    <w:p>
      <w:pPr>
        <w:jc w:val="both"/>
      </w:pPr>
      <w:r>
        <w:rPr>
          <w:rFonts w:ascii="Times New Roman" w:hAnsi="Times New Roman" w:cs="Times New Roman" w:eastAsia="Times New Roman"/>
        </w:rPr>
        <w:t>The component is not meant to be sold on its own at first. It is the entry stage of AutoForge, and every feature passes through it. Its competitive position rests on two things that the alternatives in Table 8.2 lack. The first is that it treats an unclear requirement as something to ask about rather than something to guess. The second is that its domain additions come with a citation and a reason, so a reviewer can check them. Both can be copied in principle, but the knowledge packs behind the second take domain expertise to write, which makes them the most defensible part of the component.</w:t>
      </w:r>
    </w:p>
    <w:p>
      <w:pPr>
        <w:pStyle w:val="Heading2"/>
      </w:pPr>
      <w:r>
        <w:rPr>
          <w:rFonts w:ascii="Times New Roman" w:hAnsi="Times New Roman" w:cs="Times New Roman" w:eastAsia="Times New Roman"/>
        </w:rPr>
        <w:t>8.3 Business or sustainability model</w:t>
      </w:r>
    </w:p>
    <w:p>
      <w:pPr>
        <w:jc w:val="both"/>
      </w:pPr>
      <w:r>
        <w:rPr>
          <w:rFonts w:ascii="Times New Roman" w:hAnsi="Times New Roman" w:cs="Times New Roman" w:eastAsia="Times New Roman"/>
        </w:rPr>
        <w:t>The component fits within the open-core model and the packages proposed in the common report (Table 7.5): a free self-hosted Community edition, Team seats at LKR 6,000 per month, Agency seats at LKR 10,000 per month, and enterprise and academic licences. Table 8.3 shows the parts of that model that depend directly on my work.</w:t>
      </w:r>
    </w:p>
    <w:p>
      <w:pPr>
        <w:pStyle w:val="Caption"/>
        <w:keepNext/>
        <w:jc w:val="center"/>
      </w:pPr>
      <w:r>
        <w:rPr>
          <w:rFonts w:ascii="Times New Roman" w:hAnsi="Times New Roman" w:cs="Times New Roman" w:eastAsia="Times New Roman"/>
        </w:rPr>
        <w:t>Table 8.3: Revenue elements that depend on this component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154"/>
            <w:shd w:val="clear" w:color="auto" w:fill="D9D9D9"/>
            <w:tcW w:w="2154" w:type="dxa"/>
          </w:tcPr>
          <w:p>
            <w:pPr>
              <w:spacing w:line="240" w:lineRule="auto" w:after="0"/>
            </w:pPr>
            <w:r/>
            <w:r>
              <w:rPr>
                <w:rFonts w:ascii="Times New Roman" w:hAnsi="Times New Roman" w:cs="Times New Roman" w:eastAsia="Times New Roman"/>
                <w:b/>
                <w:sz w:val="20"/>
              </w:rPr>
              <w:t>Revenue element</w:t>
            </w:r>
          </w:p>
        </w:tc>
        <w:tc>
          <w:tcPr>
            <w:tcW w:type="dxa" w:w="2098"/>
            <w:shd w:val="clear" w:color="auto" w:fill="D9D9D9"/>
            <w:tcW w:w="2097" w:type="dxa"/>
          </w:tcPr>
          <w:p>
            <w:pPr>
              <w:spacing w:line="240" w:lineRule="auto" w:after="0"/>
            </w:pPr>
            <w:r/>
            <w:r>
              <w:rPr>
                <w:rFonts w:ascii="Times New Roman" w:hAnsi="Times New Roman" w:cs="Times New Roman" w:eastAsia="Times New Roman"/>
                <w:b/>
                <w:sz w:val="20"/>
              </w:rPr>
              <w:t>Price (common report)</w:t>
            </w:r>
          </w:p>
        </w:tc>
        <w:tc>
          <w:tcPr>
            <w:tcW w:type="dxa" w:w="3969"/>
            <w:shd w:val="clear" w:color="auto" w:fill="D9D9D9"/>
            <w:tcW w:w="3969" w:type="dxa"/>
          </w:tcPr>
          <w:p>
            <w:pPr>
              <w:spacing w:line="240" w:lineRule="auto" w:after="0"/>
            </w:pPr>
            <w:r/>
            <w:r>
              <w:rPr>
                <w:rFonts w:ascii="Times New Roman" w:hAnsi="Times New Roman" w:cs="Times New Roman" w:eastAsia="Times New Roman"/>
                <w:b/>
                <w:sz w:val="20"/>
              </w:rPr>
              <w:t>What this component contributes</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Domain knowledge packs</w:t>
            </w:r>
          </w:p>
        </w:tc>
        <w:tc>
          <w:tcPr>
            <w:tcW w:type="dxa" w:w="2098"/>
            <w:tcW w:w="2097" w:type="dxa"/>
          </w:tcPr>
          <w:p>
            <w:pPr>
              <w:spacing w:line="240" w:lineRule="auto" w:after="0"/>
            </w:pPr>
            <w:r/>
            <w:r>
              <w:rPr>
                <w:rFonts w:ascii="Times New Roman" w:hAnsi="Times New Roman" w:cs="Times New Roman" w:eastAsia="Times New Roman"/>
                <w:sz w:val="20"/>
              </w:rPr>
              <w:t>LKR 30,000 per pack; one included in Agency</w:t>
            </w:r>
          </w:p>
        </w:tc>
        <w:tc>
          <w:tcPr>
            <w:tcW w:type="dxa" w:w="3969"/>
            <w:tcW w:w="3969" w:type="dxa"/>
          </w:tcPr>
          <w:p>
            <w:pPr>
              <w:spacing w:line="240" w:lineRule="auto" w:after="0"/>
            </w:pPr>
            <w:r/>
            <w:r>
              <w:rPr>
                <w:rFonts w:ascii="Times New Roman" w:hAnsi="Times New Roman" w:cs="Times New Roman" w:eastAsia="Times New Roman"/>
                <w:sz w:val="20"/>
              </w:rPr>
              <w:t>The validator and merge contain no domain rules, so a new pack is a set of documents, not new code</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Team and Agency review features</w:t>
            </w:r>
          </w:p>
        </w:tc>
        <w:tc>
          <w:tcPr>
            <w:tcW w:type="dxa" w:w="2098"/>
            <w:tcW w:w="2097" w:type="dxa"/>
          </w:tcPr>
          <w:p>
            <w:pPr>
              <w:spacing w:line="240" w:lineRule="auto" w:after="0"/>
            </w:pPr>
            <w:r/>
            <w:r>
              <w:rPr>
                <w:rFonts w:ascii="Times New Roman" w:hAnsi="Times New Roman" w:cs="Times New Roman" w:eastAsia="Times New Roman"/>
                <w:sz w:val="20"/>
              </w:rPr>
              <w:t>LKR 6,000 and 10,000 per seat per month</w:t>
            </w:r>
          </w:p>
        </w:tc>
        <w:tc>
          <w:tcPr>
            <w:tcW w:type="dxa" w:w="3969"/>
            <w:tcW w:w="3969" w:type="dxa"/>
          </w:tcPr>
          <w:p>
            <w:pPr>
              <w:spacing w:line="240" w:lineRule="auto" w:after="0"/>
            </w:pPr>
            <w:r/>
            <w:r>
              <w:rPr>
                <w:rFonts w:ascii="Times New Roman" w:hAnsi="Times New Roman" w:cs="Times New Roman" w:eastAsia="Times New Roman"/>
                <w:sz w:val="20"/>
              </w:rPr>
              <w:t>Approval, revision, revoke and version history already exist in the approval service; roles and an audit log extend it</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Enterprise / on-premise licence</w:t>
            </w:r>
          </w:p>
        </w:tc>
        <w:tc>
          <w:tcPr>
            <w:tcW w:type="dxa" w:w="2098"/>
            <w:tcW w:w="2097" w:type="dxa"/>
          </w:tcPr>
          <w:p>
            <w:pPr>
              <w:spacing w:line="240" w:lineRule="auto" w:after="0"/>
            </w:pPr>
            <w:r/>
            <w:r>
              <w:rPr>
                <w:rFonts w:ascii="Times New Roman" w:hAnsi="Times New Roman" w:cs="Times New Roman" w:eastAsia="Times New Roman"/>
                <w:sz w:val="20"/>
              </w:rPr>
              <w:t>From LKR 1,500,000 per year</w:t>
            </w:r>
          </w:p>
        </w:tc>
        <w:tc>
          <w:tcPr>
            <w:tcW w:type="dxa" w:w="3969"/>
            <w:tcW w:w="3969" w:type="dxa"/>
          </w:tcPr>
          <w:p>
            <w:pPr>
              <w:spacing w:line="240" w:lineRule="auto" w:after="0"/>
            </w:pPr>
            <w:r/>
            <w:r>
              <w:rPr>
                <w:rFonts w:ascii="Times New Roman" w:hAnsi="Times New Roman" w:cs="Times New Roman" w:eastAsia="Times New Roman"/>
                <w:sz w:val="20"/>
              </w:rPr>
              <w:t>The orchestrator runs with a local model and a MongoDB checkpointer, so the whole pipeline can stay inside a customer's network</w:t>
            </w:r>
          </w:p>
        </w:tc>
      </w:tr>
      <w:tr>
        <w:trPr>
          <w:cantSplit w:val="true"/>
        </w:trPr>
        <w:tc>
          <w:tcPr>
            <w:tcW w:type="dxa" w:w="2154"/>
            <w:tcW w:w="2154" w:type="dxa"/>
          </w:tcPr>
          <w:p>
            <w:pPr>
              <w:spacing w:line="240" w:lineRule="auto" w:after="0"/>
            </w:pPr>
            <w:r/>
            <w:r>
              <w:rPr>
                <w:rFonts w:ascii="Times New Roman" w:hAnsi="Times New Roman" w:cs="Times New Roman" w:eastAsia="Times New Roman"/>
                <w:sz w:val="20"/>
              </w:rPr>
              <w:t>Setup and training services</w:t>
            </w:r>
          </w:p>
        </w:tc>
        <w:tc>
          <w:tcPr>
            <w:tcW w:type="dxa" w:w="2098"/>
            <w:tcW w:w="2097" w:type="dxa"/>
          </w:tcPr>
          <w:p>
            <w:pPr>
              <w:spacing w:line="240" w:lineRule="auto" w:after="0"/>
            </w:pPr>
            <w:r/>
            <w:r>
              <w:rPr>
                <w:rFonts w:ascii="Times New Roman" w:hAnsi="Times New Roman" w:cs="Times New Roman" w:eastAsia="Times New Roman"/>
                <w:sz w:val="20"/>
              </w:rPr>
              <w:t>LKR 75,000 per engagement</w:t>
            </w:r>
          </w:p>
        </w:tc>
        <w:tc>
          <w:tcPr>
            <w:tcW w:type="dxa" w:w="3969"/>
            <w:tcW w:w="3969" w:type="dxa"/>
          </w:tcPr>
          <w:p>
            <w:pPr>
              <w:spacing w:line="240" w:lineRule="auto" w:after="0"/>
            </w:pPr>
            <w:r/>
            <w:r>
              <w:rPr>
                <w:rFonts w:ascii="Times New Roman" w:hAnsi="Times New Roman" w:cs="Times New Roman" w:eastAsia="Times New Roman"/>
                <w:sz w:val="20"/>
              </w:rPr>
              <w:t>Building a client-specific knowledge base from the client's own documents</w:t>
            </w:r>
          </w:p>
        </w:tc>
      </w:tr>
    </w:tbl>
    <w:p>
      <w:pPr>
        <w:spacing w:after="0"/>
      </w:pPr>
    </w:p>
    <w:p>
      <w:pPr>
        <w:jc w:val="both"/>
      </w:pPr>
      <w:r>
        <w:rPr>
          <w:rFonts w:ascii="Times New Roman" w:hAnsi="Times New Roman" w:cs="Times New Roman" w:eastAsia="Times New Roman"/>
        </w:rPr>
        <w:t>Knowledge packs deserve a closer look, because they are the revenue stream that comes most directly from this component. The e-commerce base used in the evaluation consists of five short documents (Table 3.1). Writing and testing a pack of similar size for a new domain would take an analyst about three to five days. At typical Sri Lankan rates for a software engineer, that is roughly LKR 25,000 to 80,000 of effort. A pack priced at LKR 30,000 therefore recovers its cost after two or three sales, and every later sale is almost pure margin. Before release, each pack would be tested with the retrieval ablation from Chapter 3, so that its effect on missing requirements is measured rather than assumed.</w:t>
      </w:r>
    </w:p>
    <w:p>
      <w:pPr>
        <w:jc w:val="both"/>
      </w:pPr>
      <w:r>
        <w:rPr>
          <w:rFonts w:ascii="Times New Roman" w:hAnsi="Times New Roman" w:cs="Times New Roman" w:eastAsia="Times New Roman"/>
        </w:rPr>
        <w:t>Technically, the component is already feasible: it runs on a single machine with a local model and was used in every feature of the evaluation. The domain stage is also cheaper to run than the original design, because the model returns a short plan instead of retyping the whole specification. The execution logs do not separate the cost of my stages from the rest of the pipeline (Section 6.5), so I rely on the whole-pipeline figure: one feature run costs nothing in API fees with the local model, and at most about LKR 160 on a hosted model. Table 8.4 lists the work that the results in Chapter 6 show is needed before the component could be sold.</w:t>
      </w:r>
    </w:p>
    <w:p>
      <w:pPr>
        <w:pStyle w:val="Caption"/>
        <w:keepNext/>
        <w:jc w:val="center"/>
      </w:pPr>
      <w:r>
        <w:rPr>
          <w:rFonts w:ascii="Times New Roman" w:hAnsi="Times New Roman" w:cs="Times New Roman" w:eastAsia="Times New Roman"/>
        </w:rPr>
        <w:t>Table 8.4: Work needed before a commercial release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381"/>
            <w:shd w:val="clear" w:color="auto" w:fill="D9D9D9"/>
            <w:tcW w:w="2381" w:type="dxa"/>
          </w:tcPr>
          <w:p>
            <w:pPr>
              <w:spacing w:line="240" w:lineRule="auto" w:after="0"/>
            </w:pPr>
            <w:r/>
            <w:r>
              <w:rPr>
                <w:rFonts w:ascii="Times New Roman" w:hAnsi="Times New Roman" w:cs="Times New Roman" w:eastAsia="Times New Roman"/>
                <w:b/>
                <w:sz w:val="20"/>
              </w:rPr>
              <w:t>Issue found</w:t>
            </w:r>
          </w:p>
        </w:tc>
        <w:tc>
          <w:tcPr>
            <w:tcW w:type="dxa" w:w="2154"/>
            <w:shd w:val="clear" w:color="auto" w:fill="D9D9D9"/>
            <w:tcW w:w="2154" w:type="dxa"/>
          </w:tcPr>
          <w:p>
            <w:pPr>
              <w:spacing w:line="240" w:lineRule="auto" w:after="0"/>
            </w:pPr>
            <w:r/>
            <w:r>
              <w:rPr>
                <w:rFonts w:ascii="Times New Roman" w:hAnsi="Times New Roman" w:cs="Times New Roman" w:eastAsia="Times New Roman"/>
                <w:b/>
                <w:sz w:val="20"/>
              </w:rPr>
              <w:t>Evidence</w:t>
            </w:r>
          </w:p>
        </w:tc>
        <w:tc>
          <w:tcPr>
            <w:tcW w:type="dxa" w:w="3685"/>
            <w:shd w:val="clear" w:color="auto" w:fill="D9D9D9"/>
            <w:tcW w:w="3685" w:type="dxa"/>
          </w:tcPr>
          <w:p>
            <w:pPr>
              <w:spacing w:line="240" w:lineRule="auto" w:after="0"/>
            </w:pPr>
            <w:r/>
            <w:r>
              <w:rPr>
                <w:rFonts w:ascii="Times New Roman" w:hAnsi="Times New Roman" w:cs="Times New Roman" w:eastAsia="Times New Roman"/>
                <w:b/>
                <w:sz w:val="20"/>
              </w:rPr>
              <w:t>Change needed</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An irrelevant constraint was retrieved</w:t>
            </w:r>
          </w:p>
        </w:tc>
        <w:tc>
          <w:tcPr>
            <w:tcW w:type="dxa" w:w="2154"/>
            <w:tcW w:w="2154" w:type="dxa"/>
          </w:tcPr>
          <w:p>
            <w:pPr>
              <w:spacing w:line="240" w:lineRule="auto" w:after="0"/>
            </w:pPr>
            <w:r/>
            <w:r>
              <w:rPr>
                <w:rFonts w:ascii="Times New Roman" w:hAnsi="Times New Roman" w:cs="Times New Roman" w:eastAsia="Times New Roman"/>
                <w:sz w:val="20"/>
              </w:rPr>
              <w:t>Guest-checkout constraint (Section 6.4)</w:t>
            </w:r>
          </w:p>
        </w:tc>
        <w:tc>
          <w:tcPr>
            <w:tcW w:type="dxa" w:w="3685"/>
            <w:tcW w:w="3685" w:type="dxa"/>
          </w:tcPr>
          <w:p>
            <w:pPr>
              <w:spacing w:line="240" w:lineRule="auto" w:after="0"/>
            </w:pPr>
            <w:r/>
            <w:r>
              <w:rPr>
                <w:rFonts w:ascii="Times New Roman" w:hAnsi="Times New Roman" w:cs="Times New Roman" w:eastAsia="Times New Roman"/>
                <w:sz w:val="20"/>
              </w:rPr>
              <w:t>A relevance threshold on retrieved chunks, and packs tested before release</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The citation check could be satisfied by any reviewer comment</w:t>
            </w:r>
          </w:p>
        </w:tc>
        <w:tc>
          <w:tcPr>
            <w:tcW w:type="dxa" w:w="2154"/>
            <w:tcW w:w="2154" w:type="dxa"/>
          </w:tcPr>
          <w:p>
            <w:pPr>
              <w:spacing w:line="240" w:lineRule="auto" w:after="0"/>
            </w:pPr>
            <w:r/>
            <w:r>
              <w:rPr>
                <w:rFonts w:ascii="Times New Roman" w:hAnsi="Times New Roman" w:cs="Times New Roman" w:eastAsia="Times New Roman"/>
                <w:sz w:val="20"/>
              </w:rPr>
              <w:t>GDPR constraint cited to a question (Section 6.4)</w:t>
            </w:r>
          </w:p>
        </w:tc>
        <w:tc>
          <w:tcPr>
            <w:tcW w:type="dxa" w:w="3685"/>
            <w:tcW w:w="3685" w:type="dxa"/>
          </w:tcPr>
          <w:p>
            <w:pPr>
              <w:spacing w:line="240" w:lineRule="auto" w:after="0"/>
            </w:pPr>
            <w:r/>
            <w:r>
              <w:rPr>
                <w:rFonts w:ascii="Times New Roman" w:hAnsi="Times New Roman" w:cs="Times New Roman" w:eastAsia="Times New Roman"/>
                <w:sz w:val="20"/>
              </w:rPr>
              <w:t>Check that the comment actually asked for the addition</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No external analysts have used the component</w:t>
            </w:r>
          </w:p>
        </w:tc>
        <w:tc>
          <w:tcPr>
            <w:tcW w:type="dxa" w:w="2154"/>
            <w:tcW w:w="2154" w:type="dxa"/>
          </w:tcPr>
          <w:p>
            <w:pPr>
              <w:spacing w:line="240" w:lineRule="auto" w:after="0"/>
            </w:pPr>
            <w:r/>
            <w:r>
              <w:rPr>
                <w:rFonts w:ascii="Times New Roman" w:hAnsi="Times New Roman" w:cs="Times New Roman" w:eastAsia="Times New Roman"/>
                <w:sz w:val="20"/>
              </w:rPr>
              <w:t>Section 6.3</w:t>
            </w:r>
          </w:p>
        </w:tc>
        <w:tc>
          <w:tcPr>
            <w:tcW w:type="dxa" w:w="3685"/>
            <w:tcW w:w="3685" w:type="dxa"/>
          </w:tcPr>
          <w:p>
            <w:pPr>
              <w:spacing w:line="240" w:lineRule="auto" w:after="0"/>
            </w:pPr>
            <w:r/>
            <w:r>
              <w:rPr>
                <w:rFonts w:ascii="Times New Roman" w:hAnsi="Times New Roman" w:cs="Times New Roman" w:eastAsia="Times New Roman"/>
                <w:sz w:val="20"/>
              </w:rPr>
              <w:t>A pilot with one agency's analysts, measuring revisions and review time</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Library versions change quickly</w:t>
            </w:r>
          </w:p>
        </w:tc>
        <w:tc>
          <w:tcPr>
            <w:tcW w:type="dxa" w:w="2154"/>
            <w:tcW w:w="2154" w:type="dxa"/>
          </w:tcPr>
          <w:p>
            <w:pPr>
              <w:spacing w:line="240" w:lineRule="auto" w:after="0"/>
            </w:pPr>
            <w:r/>
            <w:r>
              <w:rPr>
                <w:rFonts w:ascii="Times New Roman" w:hAnsi="Times New Roman" w:cs="Times New Roman" w:eastAsia="Times New Roman"/>
                <w:sz w:val="20"/>
              </w:rPr>
              <w:t>LangGraph, ChromaDB and sentence-transformers</w:t>
            </w:r>
          </w:p>
        </w:tc>
        <w:tc>
          <w:tcPr>
            <w:tcW w:type="dxa" w:w="3685"/>
            <w:tcW w:w="3685" w:type="dxa"/>
          </w:tcPr>
          <w:p>
            <w:pPr>
              <w:spacing w:line="240" w:lineRule="auto" w:after="0"/>
            </w:pPr>
            <w:r/>
            <w:r>
              <w:rPr>
                <w:rFonts w:ascii="Times New Roman" w:hAnsi="Times New Roman" w:cs="Times New Roman" w:eastAsia="Times New Roman"/>
                <w:sz w:val="20"/>
              </w:rPr>
              <w:t>Pinned versions and planned upgrades</w:t>
            </w:r>
          </w:p>
        </w:tc>
      </w:tr>
    </w:tbl>
    <w:p>
      <w:pPr>
        <w:spacing w:after="0"/>
      </w:pPr>
    </w:p>
    <w:p>
      <w:pPr>
        <w:pStyle w:val="Heading2"/>
      </w:pPr>
      <w:r>
        <w:rPr>
          <w:rFonts w:ascii="Times New Roman" w:hAnsi="Times New Roman" w:cs="Times New Roman" w:eastAsia="Times New Roman"/>
        </w:rPr>
        <w:t>8.4 Scalability intellectual property and compliance</w:t>
      </w:r>
    </w:p>
    <w:p>
      <w:pPr>
        <w:jc w:val="both"/>
      </w:pPr>
      <w:r>
        <w:rPr>
          <w:rFonts w:ascii="Times New Roman" w:hAnsi="Times New Roman" w:cs="Times New Roman" w:eastAsia="Times New Roman"/>
        </w:rPr>
        <w:t>Scalability. The orchestrator already runs one checkpointed state-graph thread per feature, which is the right unit for a multi-user service. To serve many teams, each customer would need its own thread identifiers and checkpoint data in MongoDB, its own ChromaDB collection for private knowledge, and a job queue so that several features can run at once. The requirement conversation is light, and most of the cost of a run comes from the later stages, so this component is unlikely to be the bottleneck. Adding a domain also scales well, because it means adding documents rather than code.</w:t>
      </w:r>
    </w:p>
    <w:p>
      <w:pPr>
        <w:jc w:val="both"/>
      </w:pPr>
      <w:r>
        <w:rPr>
          <w:rFonts w:ascii="Times New Roman" w:hAnsi="Times New Roman" w:cs="Times New Roman" w:eastAsia="Times New Roman"/>
        </w:rPr>
        <w:t>Intellectual property. A specification produced for a customer belongs to that customer, and so do any documents they upload to build a private knowledge base; these must never be shared with other customers. The knowledge packs written by the team are our property and the main asset this component adds. The component depends on LangGraph, ChromaDB, the sentence-transformers library with the all-MiniLM-L6-v2 model, and the qwen3-coder model, so the licence and terms of use of each must be reviewed before release. Ownership of the code itself is also subject to the university's intellectual property policy.</w:t>
      </w:r>
    </w:p>
    <w:p>
      <w:pPr>
        <w:jc w:val="both"/>
      </w:pPr>
      <w:r>
        <w:rPr>
          <w:rFonts w:ascii="Times New Roman" w:hAnsi="Times New Roman" w:cs="Times New Roman" w:eastAsia="Times New Roman"/>
        </w:rPr>
        <w:t>Compliance. The requirement conversation can contain a client's business plans and, occasionally, personal details such as the names of staff or customers. Sri Lanka's Personal Data Protection Act, No. 9 of 2022, takes effect on 1 January 2027 and requires lawful and transparent processing, breach notification and care with transfers abroad [25]. The self-hosted editions keep this information on the customer's own machine. A hosted edition would make the team responsible for it, and would have to state which model provider, if any, receives the conversation. The Act also matters for the stores AutoForge generates. The worked example showed the model adding a general GDPR constraint without a real source (Section 6.4). The right answer is a curated data-protection document in the e-commerce knowledge pack, so that legal requirements enter the specification with a proper citation, and are then checked by a person, rather than being invented by the model.</w:t>
      </w:r>
    </w:p>
    <w:p>
      <w:pPr>
        <w:pStyle w:val="Heading2"/>
      </w:pPr>
      <w:r>
        <w:rPr>
          <w:rFonts w:ascii="Times New Roman" w:hAnsi="Times New Roman" w:cs="Times New Roman" w:eastAsia="Times New Roman"/>
        </w:rPr>
        <w:t>8.5 Contribution to the Sustainable Development Goals</w:t>
      </w:r>
    </w:p>
    <w:p>
      <w:pPr>
        <w:jc w:val="both"/>
      </w:pPr>
      <w:r>
        <w:rPr>
          <w:rFonts w:ascii="Times New Roman" w:hAnsi="Times New Roman" w:cs="Times New Roman" w:eastAsia="Times New Roman"/>
        </w:rPr>
        <w:t>The common report links AutoForge to SDG 9 (Industry, Innovation and Infrastructure) and SDG 8 (Decent Work and Economic Growth). My component's contribution to SDG 9, and in particular target 9.5 on upgrading technological capabilities, is a method for using AI in the earliest, most decision-heavy stage of software development while keeping a person accountable, with a model that can run locally rather than through an expensive external service. Its contribution to SDG 8, targets 8.2 and 8.3, would come through small development firms, which could produce clearer specifications for their clients in less time and spend less on rework.</w:t>
      </w:r>
    </w:p>
    <w:p>
      <w:pPr>
        <w:jc w:val="both"/>
      </w:pPr>
      <w:r>
        <w:rPr>
          <w:rFonts w:ascii="Times New Roman" w:hAnsi="Times New Roman" w:cs="Times New Roman" w:eastAsia="Times New Roman"/>
        </w:rPr>
        <w:t>These contributions are potential rather than demonstrated, since the component has not been used by a real business. There are also possible negative effects. If analysts start approving specifications without reading them, the gate stops protecting anything and their own skills may weaken. The component tries to prevent this by keeping the analyst involved in every answer of the conversation, showing assumptions and domain additions openly, and keeping the Domain Improvements report short enough to read. A responsible next step would be a pilot with one small agency, measuring the same things as in Chapter 6, together with the time analysts spend in the requirement conversation and the energy used by the local model.</w:t>
      </w:r>
    </w:p>
    <w:p>
      <w:pPr/>
      <w:r>
        <w:br w:type="page"/>
      </w:r>
    </w:p>
    <w:p>
      <w:pPr>
        <w:pStyle w:val="Heading1"/>
      </w:pPr>
      <w:r>
        <w:rPr>
          <w:rFonts w:ascii="Times New Roman" w:hAnsi="Times New Roman" w:cs="Times New Roman" w:eastAsia="Times New Roman"/>
        </w:rPr>
        <w:t>REFERENCES TO ADD</w:t>
      </w:r>
    </w:p>
    <w:p>
      <w:pPr/>
      <w:r>
        <w:rPr>
          <w:rFonts w:ascii="Times New Roman" w:hAnsi="Times New Roman" w:cs="Times New Roman" w:eastAsia="Times New Roman"/>
        </w:rPr>
        <w:t>Append these entries to the end of the thesis reference list. The numbers continue from [22], the last entry in the current list.</w:t>
      </w:r>
    </w:p>
    <w:p>
      <w:pPr>
        <w:spacing w:line="240" w:lineRule="auto" w:after="240"/>
        <w:ind w:left="567" w:hanging="567"/>
      </w:pPr>
      <w:r>
        <w:rPr>
          <w:rFonts w:ascii="Times New Roman" w:hAnsi="Times New Roman" w:cs="Times New Roman" w:eastAsia="Times New Roman"/>
        </w:rPr>
        <w:t>[23] Stack Overflow, “2025 Developer Survey: AI,” 2025. [Online]. Available: https://survey.stackoverflow.co/2025/ai (accessed Oct. 8, 2026).</w:t>
      </w:r>
    </w:p>
    <w:p>
      <w:pPr>
        <w:spacing w:line="240" w:lineRule="auto" w:after="240"/>
        <w:ind w:left="567" w:hanging="567"/>
      </w:pPr>
      <w:r>
        <w:rPr>
          <w:rFonts w:ascii="Times New Roman" w:hAnsi="Times New Roman" w:cs="Times New Roman" w:eastAsia="Times New Roman"/>
        </w:rPr>
        <w:t>[24] “SLASSCOM reflects on a year of creating opportunities, strengthening Sri Lanka’s knowledge and innovation industry,” Daily FT, Jul. 15, 2026. [Online]. Available: https://www.ft.lk/it-telecom-tech/SLASSCOM-reflects-on-a-year-of-creating-opportunities-strengthening-Sri-Lanka-s-knowledge-and-innovation-industry/50-794672 (accessed Oct. 8, 2026).</w:t>
      </w:r>
    </w:p>
    <w:p>
      <w:pPr>
        <w:spacing w:line="240" w:lineRule="auto" w:after="240"/>
        <w:ind w:left="567" w:hanging="567"/>
      </w:pPr>
      <w:r>
        <w:rPr>
          <w:rFonts w:ascii="Times New Roman" w:hAnsi="Times New Roman" w:cs="Times New Roman" w:eastAsia="Times New Roman"/>
        </w:rPr>
        <w:t>[25] “Data protection compliance regime takes effect on 1 Jan. 2027,” Daily FT, 2026. [Online]. Available: https://www.ft.lk/front-page/Data-protection-compliance-regime-takes-effect-on-1-Jan-2027/44-795776 (accessed Oct. 8, 2026).</w:t>
      </w:r>
    </w:p>
    <w:p>
      <w:pPr>
        <w:spacing w:line="240" w:lineRule="auto" w:after="240"/>
        <w:ind w:left="567" w:hanging="567"/>
      </w:pPr>
      <w:r>
        <w:rPr>
          <w:rFonts w:ascii="Times New Roman" w:hAnsi="Times New Roman" w:cs="Times New Roman" w:eastAsia="Times New Roman"/>
        </w:rPr>
        <w:t>[26] “ChatGPT pricing in 2026: Free, Go, Plus, Pro, Business and Enterprise,” GPTPrompts.ai. [Online]. Available: https://gptprompts.ai/ai-pricing/chatgpt-pricing (accessed Oct. 8, 2026).</w:t>
      </w:r>
    </w:p>
    <w:p>
      <w:pPr>
        <w:spacing w:line="240" w:lineRule="auto" w:after="240"/>
        <w:ind w:left="567" w:hanging="567"/>
      </w:pPr>
      <w:r>
        <w:rPr>
          <w:rFonts w:ascii="Times New Roman" w:hAnsi="Times New Roman" w:cs="Times New Roman" w:eastAsia="Times New Roman"/>
        </w:rPr>
        <w:t>[27] Anthropic, “Claude pricing.” [Online]. Available: https://claude.com/pricing (accessed Oct. 8, 2026).</w:t>
      </w:r>
    </w:p>
    <w:p>
      <w:pPr>
        <w:spacing w:line="240" w:lineRule="auto" w:after="240"/>
        <w:ind w:left="567" w:hanging="567"/>
      </w:pPr>
      <w:r>
        <w:rPr>
          <w:rFonts w:ascii="Times New Roman" w:hAnsi="Times New Roman" w:cs="Times New Roman" w:eastAsia="Times New Roman"/>
        </w:rPr>
        <w:t>[28] Lovable, “Subscription plans.” [Online]. Available: https://docs.lovable.dev/introduction/subscription-plans (accessed Oct. 8, 2026).</w:t>
      </w:r>
    </w:p>
    <w:p>
      <w:pPr>
        <w:spacing w:line="240" w:lineRule="auto" w:after="240"/>
        <w:ind w:left="567" w:hanging="567"/>
      </w:pPr>
      <w:r>
        <w:rPr>
          <w:rFonts w:ascii="Times New Roman" w:hAnsi="Times New Roman" w:cs="Times New Roman" w:eastAsia="Times New Roman"/>
        </w:rPr>
        <w:t>[29] StackBlitz, “Bolt pricing.” [Online]. Available: https://bolt.new/pricing (accessed Oct. 8, 2026).</w:t>
      </w:r>
    </w:p>
    <w:p>
      <w:pPr>
        <w:spacing w:line="240" w:lineRule="auto" w:after="240"/>
        <w:ind w:left="567" w:hanging="567"/>
      </w:pPr>
      <w:r>
        <w:rPr>
          <w:rFonts w:ascii="Times New Roman" w:hAnsi="Times New Roman" w:cs="Times New Roman" w:eastAsia="Times New Roman"/>
        </w:rPr>
        <w:t>[30] Exchange-Rates.org, “USD to LKR: Convert US Dollars to Sri Lanka Rupees.” [Online]. Available: https://www.exchange-rates.org/converter/usd-lkr (accessed Oct. 7, 2026).</w:t>
      </w:r>
    </w:p>
    <w:sectPr w:rsidR="00FC693F" w:rsidRPr="0006063C" w:rsidSect="00034616">
      <w:pgSz w:w="11906" w:h="16838"/>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