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8 COMMERCIALISATION AND SUSTAINABILITY</w:t>
      </w:r>
    </w:p>
    <w:p>
      <w:pPr>
        <w:pStyle w:val="Heading2"/>
      </w:pPr>
      <w:r>
        <w:rPr>
          <w:rFonts w:ascii="Times New Roman" w:hAnsi="Times New Roman" w:cs="Times New Roman" w:eastAsia="Times New Roman"/>
        </w:rPr>
        <w:t>8.1 Value proposition and target users</w:t>
      </w:r>
    </w:p>
    <w:p>
      <w:pPr>
        <w:jc w:val="both"/>
      </w:pPr>
      <w:r>
        <w:rPr>
          <w:rFonts w:ascii="Times New Roman" w:hAnsi="Times New Roman" w:cs="Times New Roman" w:eastAsia="Times New Roman"/>
        </w:rPr>
        <w:t>The common report argues that teams using AI to build software need to see and approve what the AI produced. The verification stage is where that argument becomes concrete, because a client or a manager will ask two questions about any generated feature: is it safe, and was it tested? Developers already doubt AI-generated code. In the 2025 Stack Overflow Developer Survey only 32.7% of developers trusted the accuracy of AI output, and 45.2% said that debugging AI-generated code takes too long [15]. A tool that writes code without checking it adds to that work; a tool that checks the code and shows its evidence reduces it.</w:t>
      </w:r>
    </w:p>
    <w:p>
      <w:pPr>
        <w:jc w:val="both"/>
      </w:pPr>
      <w:r>
        <w:rPr>
          <w:rFonts w:ascii="Times New Roman" w:hAnsi="Times New Roman" w:cs="Times New Roman" w:eastAsia="Times New Roman"/>
        </w:rPr>
        <w:t>My component answers both questions with evidence a person can inspect: findings tied to files, lines and CWE classes, and tests that were actually run. It also turns a finding into a fix, by sending it to the Coder Agent as a revision instead of leaving it in a report. The evaluation shows each part of this value. On the team's controlled vulnerability set the Security Agent reached a precision of 87.5% and a recall of 77.8%. On the seeded Login and Signup feature, the deterministic layers found their two vulnerabilities in every report with no false findings, the AI deep scan found all five in every report (Table 6.2), and two rounds of the fix loop removed all five (Section 6.2.4). On the QA side, the root-cause analysis correctly explained every failed regression test, and one failing test exposed the seeded hardcoded credential (Section 6.2.3).</w:t>
      </w:r>
    </w:p>
    <w:p>
      <w:pPr>
        <w:jc w:val="both"/>
      </w:pPr>
      <w:r>
        <w:rPr>
          <w:rFonts w:ascii="Times New Roman" w:hAnsi="Times New Roman" w:cs="Times New Roman" w:eastAsia="Times New Roman"/>
        </w:rPr>
        <w:t>Table 8.1 shows who would use the component and what each group gains.</w:t>
      </w:r>
    </w:p>
    <w:p>
      <w:pPr>
        <w:pStyle w:val="Caption"/>
        <w:keepNext/>
        <w:jc w:val="center"/>
      </w:pPr>
      <w:r>
        <w:rPr>
          <w:rFonts w:ascii="Times New Roman" w:hAnsi="Times New Roman" w:cs="Times New Roman" w:eastAsia="Times New Roman"/>
        </w:rPr>
        <w:t>Table 8.1: Target users of the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041"/>
            <w:shd w:val="clear" w:color="auto" w:fill="D9D9D9"/>
            <w:tcW w:w="2041" w:type="dxa"/>
          </w:tcPr>
          <w:p>
            <w:pPr>
              <w:spacing w:line="240" w:lineRule="auto" w:after="0"/>
            </w:pPr>
            <w:r/>
            <w:r>
              <w:rPr>
                <w:rFonts w:ascii="Times New Roman" w:hAnsi="Times New Roman" w:cs="Times New Roman" w:eastAsia="Times New Roman"/>
                <w:b/>
                <w:sz w:val="20"/>
              </w:rPr>
              <w:t>User group</w:t>
            </w:r>
          </w:p>
        </w:tc>
        <w:tc>
          <w:tcPr>
            <w:tcW w:type="dxa" w:w="2665"/>
            <w:shd w:val="clear" w:color="auto" w:fill="D9D9D9"/>
            <w:tcW w:w="2664" w:type="dxa"/>
          </w:tcPr>
          <w:p>
            <w:pPr>
              <w:spacing w:line="240" w:lineRule="auto" w:after="0"/>
            </w:pPr>
            <w:r/>
            <w:r>
              <w:rPr>
                <w:rFonts w:ascii="Times New Roman" w:hAnsi="Times New Roman" w:cs="Times New Roman" w:eastAsia="Times New Roman"/>
                <w:b/>
                <w:sz w:val="20"/>
              </w:rPr>
              <w:t>Need</w:t>
            </w:r>
          </w:p>
        </w:tc>
        <w:tc>
          <w:tcPr>
            <w:tcW w:type="dxa" w:w="3515"/>
            <w:shd w:val="clear" w:color="auto" w:fill="D9D9D9"/>
            <w:tcW w:w="3515" w:type="dxa"/>
          </w:tcPr>
          <w:p>
            <w:pPr>
              <w:spacing w:line="240" w:lineRule="auto" w:after="0"/>
            </w:pPr>
            <w:r/>
            <w:r>
              <w:rPr>
                <w:rFonts w:ascii="Times New Roman" w:hAnsi="Times New Roman" w:cs="Times New Roman" w:eastAsia="Times New Roman"/>
                <w:b/>
                <w:sz w:val="20"/>
              </w:rPr>
              <w:t>What the component provides</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Developers and leads in small teams without a security specialist</w:t>
            </w:r>
          </w:p>
        </w:tc>
        <w:tc>
          <w:tcPr>
            <w:tcW w:type="dxa" w:w="2665"/>
            <w:tcW w:w="2664" w:type="dxa"/>
          </w:tcPr>
          <w:p>
            <w:pPr>
              <w:spacing w:line="240" w:lineRule="auto" w:after="0"/>
            </w:pPr>
            <w:r/>
            <w:r>
              <w:rPr>
                <w:rFonts w:ascii="Times New Roman" w:hAnsi="Times New Roman" w:cs="Times New Roman" w:eastAsia="Times New Roman"/>
                <w:sz w:val="20"/>
              </w:rPr>
              <w:t>Know whether generated code is safe before merging it</w:t>
            </w:r>
          </w:p>
        </w:tc>
        <w:tc>
          <w:tcPr>
            <w:tcW w:type="dxa" w:w="3515"/>
            <w:tcW w:w="3515" w:type="dxa"/>
          </w:tcPr>
          <w:p>
            <w:pPr>
              <w:spacing w:line="240" w:lineRule="auto" w:after="0"/>
            </w:pPr>
            <w:r/>
            <w:r>
              <w:rPr>
                <w:rFonts w:ascii="Times New Roman" w:hAnsi="Times New Roman" w:cs="Times New Roman" w:eastAsia="Times New Roman"/>
                <w:sz w:val="20"/>
              </w:rPr>
              <w:t>Deterministic scans, an AI deep scan and dependency checks, mapped to Critical, Moderate and Warning tiers</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Teams without a dedicated tester</w:t>
            </w:r>
          </w:p>
        </w:tc>
        <w:tc>
          <w:tcPr>
            <w:tcW w:type="dxa" w:w="2665"/>
            <w:tcW w:w="2664" w:type="dxa"/>
          </w:tcPr>
          <w:p>
            <w:pPr>
              <w:spacing w:line="240" w:lineRule="auto" w:after="0"/>
            </w:pPr>
            <w:r/>
            <w:r>
              <w:rPr>
                <w:rFonts w:ascii="Times New Roman" w:hAnsi="Times New Roman" w:cs="Times New Roman" w:eastAsia="Times New Roman"/>
                <w:sz w:val="20"/>
              </w:rPr>
              <w:t>Evidence that a feature works</w:t>
            </w:r>
          </w:p>
        </w:tc>
        <w:tc>
          <w:tcPr>
            <w:tcW w:type="dxa" w:w="3515"/>
            <w:tcW w:w="3515" w:type="dxa"/>
          </w:tcPr>
          <w:p>
            <w:pPr>
              <w:spacing w:line="240" w:lineRule="auto" w:after="0"/>
            </w:pPr>
            <w:r/>
            <w:r>
              <w:rPr>
                <w:rFonts w:ascii="Times New Roman" w:hAnsi="Times New Roman" w:cs="Times New Roman" w:eastAsia="Times New Roman"/>
                <w:sz w:val="20"/>
              </w:rPr>
              <w:t>Unit, integration and regression tests generated, run in the sandbox and explained when they fail</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Agencies delivering to clients</w:t>
            </w:r>
          </w:p>
        </w:tc>
        <w:tc>
          <w:tcPr>
            <w:tcW w:type="dxa" w:w="2665"/>
            <w:tcW w:w="2664" w:type="dxa"/>
          </w:tcPr>
          <w:p>
            <w:pPr>
              <w:spacing w:line="240" w:lineRule="auto" w:after="0"/>
            </w:pPr>
            <w:r/>
            <w:r>
              <w:rPr>
                <w:rFonts w:ascii="Times New Roman" w:hAnsi="Times New Roman" w:cs="Times New Roman" w:eastAsia="Times New Roman"/>
                <w:sz w:val="20"/>
              </w:rPr>
              <w:t>Proof of quality to hand over with the work</w:t>
            </w:r>
          </w:p>
        </w:tc>
        <w:tc>
          <w:tcPr>
            <w:tcW w:type="dxa" w:w="3515"/>
            <w:tcW w:w="3515" w:type="dxa"/>
          </w:tcPr>
          <w:p>
            <w:pPr>
              <w:spacing w:line="240" w:lineRule="auto" w:after="0"/>
            </w:pPr>
            <w:r/>
            <w:r>
              <w:rPr>
                <w:rFonts w:ascii="Times New Roman" w:hAnsi="Times New Roman" w:cs="Times New Roman" w:eastAsia="Times New Roman"/>
                <w:sz w:val="20"/>
              </w:rPr>
              <w:t>Security and QA reports in Markdown and PDF, with the reviewer's decision recorded</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Store owners</w:t>
            </w:r>
          </w:p>
        </w:tc>
        <w:tc>
          <w:tcPr>
            <w:tcW w:type="dxa" w:w="2665"/>
            <w:tcW w:w="2664" w:type="dxa"/>
          </w:tcPr>
          <w:p>
            <w:pPr>
              <w:spacing w:line="240" w:lineRule="auto" w:after="0"/>
            </w:pPr>
            <w:r/>
            <w:r>
              <w:rPr>
                <w:rFonts w:ascii="Times New Roman" w:hAnsi="Times New Roman" w:cs="Times New Roman" w:eastAsia="Times New Roman"/>
                <w:sz w:val="20"/>
              </w:rPr>
              <w:t>Protect customer accounts, passwords and orders</w:t>
            </w:r>
          </w:p>
        </w:tc>
        <w:tc>
          <w:tcPr>
            <w:tcW w:type="dxa" w:w="3515"/>
            <w:tcW w:w="3515" w:type="dxa"/>
          </w:tcPr>
          <w:p>
            <w:pPr>
              <w:spacing w:line="240" w:lineRule="auto" w:after="0"/>
            </w:pPr>
            <w:r/>
            <w:r>
              <w:rPr>
                <w:rFonts w:ascii="Times New Roman" w:hAnsi="Times New Roman" w:cs="Times New Roman" w:eastAsia="Times New Roman"/>
                <w:sz w:val="20"/>
              </w:rPr>
              <w:t>Findings such as exposed credentials, injection and weak hashing caught and fixed before release</w:t>
            </w:r>
          </w:p>
        </w:tc>
      </w:tr>
    </w:tbl>
    <w:p>
      <w:pPr>
        <w:spacing w:after="0"/>
      </w:pPr>
    </w:p>
    <w:p>
      <w:pPr>
        <w:jc w:val="both"/>
      </w:pPr>
      <w:r>
        <w:rPr>
          <w:rFonts w:ascii="Times New Roman" w:hAnsi="Times New Roman" w:cs="Times New Roman" w:eastAsia="Times New Roman"/>
        </w:rPr>
        <w:t>This evidence comes from our own study, and no security professional or tester outside the team has yet used the component (Section 6.3). The team is therefore surveying developers, testers and agency staff, as described in Section 7.1 of the common report. For this component the key result is [insert: the percentage of respondents whose team has no dedicated security or QA person, and the percentage who would want security and test reports for every AI-generated feature].</w:t>
      </w:r>
    </w:p>
    <w:p>
      <w:pPr>
        <w:pStyle w:val="Heading2"/>
      </w:pPr>
      <w:r>
        <w:rPr>
          <w:rFonts w:ascii="Times New Roman" w:hAnsi="Times New Roman" w:cs="Times New Roman" w:eastAsia="Times New Roman"/>
        </w:rPr>
        <w:t>8.2 Market and competitive position</w:t>
      </w:r>
    </w:p>
    <w:p>
      <w:pPr>
        <w:jc w:val="both"/>
      </w:pPr>
      <w:r>
        <w:rPr>
          <w:rFonts w:ascii="Times New Roman" w:hAnsi="Times New Roman" w:cs="Times New Roman" w:eastAsia="Times New Roman"/>
        </w:rPr>
        <w:t>The first market is the one AutoForge targets: small e-commerce development teams and agencies, beginning in Sri Lanka, whose IT and business process management industry has more than 680 companies and over 700 active startups [16]. Small firms in this market rarely employ a security specialist or a dedicated tester, which is the gap this component fills.</w:t>
      </w:r>
    </w:p>
    <w:p>
      <w:pPr>
        <w:jc w:val="both"/>
      </w:pPr>
      <w:r>
        <w:rPr>
          <w:rFonts w:ascii="Times New Roman" w:hAnsi="Times New Roman" w:cs="Times New Roman" w:eastAsia="Times New Roman"/>
        </w:rPr>
        <w:t>Security and testing tools are a mature market, and the leading products are inexpensive for small teams. Table 8.2 compares them with this component, using published prices in October 2026 converted at 330.43 rupees to the dollar [21].</w:t>
      </w:r>
    </w:p>
    <w:p>
      <w:pPr>
        <w:pStyle w:val="Caption"/>
        <w:keepNext/>
        <w:jc w:val="center"/>
      </w:pPr>
      <w:r>
        <w:rPr>
          <w:rFonts w:ascii="Times New Roman" w:hAnsi="Times New Roman" w:cs="Times New Roman" w:eastAsia="Times New Roman"/>
        </w:rPr>
        <w:t>Table 8.2: Alternatives for checking generated code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814"/>
            <w:shd w:val="clear" w:color="auto" w:fill="D9D9D9"/>
            <w:tcW w:w="1814" w:type="dxa"/>
          </w:tcPr>
          <w:p>
            <w:pPr>
              <w:spacing w:line="240" w:lineRule="auto" w:after="0"/>
            </w:pPr>
            <w:r/>
            <w:r>
              <w:rPr>
                <w:rFonts w:ascii="Times New Roman" w:hAnsi="Times New Roman" w:cs="Times New Roman" w:eastAsia="Times New Roman"/>
                <w:b/>
                <w:sz w:val="20"/>
              </w:rPr>
              <w:t>Alternative</w:t>
            </w:r>
          </w:p>
        </w:tc>
        <w:tc>
          <w:tcPr>
            <w:tcW w:type="dxa" w:w="1928"/>
            <w:shd w:val="clear" w:color="auto" w:fill="D9D9D9"/>
            <w:tcW w:w="1927" w:type="dxa"/>
          </w:tcPr>
          <w:p>
            <w:pPr>
              <w:spacing w:line="240" w:lineRule="auto" w:after="0"/>
            </w:pPr>
            <w:r/>
            <w:r>
              <w:rPr>
                <w:rFonts w:ascii="Times New Roman" w:hAnsi="Times New Roman" w:cs="Times New Roman" w:eastAsia="Times New Roman"/>
                <w:b/>
                <w:sz w:val="20"/>
              </w:rPr>
              <w:t>Typical cost</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Strength</w:t>
            </w:r>
          </w:p>
        </w:tc>
        <w:tc>
          <w:tcPr>
            <w:tcW w:type="dxa" w:w="2778"/>
            <w:shd w:val="clear" w:color="auto" w:fill="D9D9D9"/>
            <w:tcW w:w="2778" w:type="dxa"/>
          </w:tcPr>
          <w:p>
            <w:pPr>
              <w:spacing w:line="240" w:lineRule="auto" w:after="0"/>
            </w:pPr>
            <w:r/>
            <w:r>
              <w:rPr>
                <w:rFonts w:ascii="Times New Roman" w:hAnsi="Times New Roman" w:cs="Times New Roman" w:eastAsia="Times New Roman"/>
                <w:b/>
                <w:sz w:val="20"/>
              </w:rPr>
              <w:t>Weakness compared with this component</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Manual review and testing</w:t>
            </w:r>
          </w:p>
        </w:tc>
        <w:tc>
          <w:tcPr>
            <w:tcW w:type="dxa" w:w="1928"/>
            <w:tcW w:w="1927" w:type="dxa"/>
          </w:tcPr>
          <w:p>
            <w:pPr>
              <w:spacing w:line="240" w:lineRule="auto" w:after="0"/>
            </w:pPr>
            <w:r/>
            <w:r>
              <w:rPr>
                <w:rFonts w:ascii="Times New Roman" w:hAnsi="Times New Roman" w:cs="Times New Roman" w:eastAsia="Times New Roman"/>
                <w:sz w:val="20"/>
              </w:rPr>
              <w:t>Specialist time</w:t>
            </w:r>
          </w:p>
        </w:tc>
        <w:tc>
          <w:tcPr>
            <w:tcW w:type="dxa" w:w="1701"/>
            <w:tcW w:w="1701" w:type="dxa"/>
          </w:tcPr>
          <w:p>
            <w:pPr>
              <w:spacing w:line="240" w:lineRule="auto" w:after="0"/>
            </w:pPr>
            <w:r/>
            <w:r>
              <w:rPr>
                <w:rFonts w:ascii="Times New Roman" w:hAnsi="Times New Roman" w:cs="Times New Roman" w:eastAsia="Times New Roman"/>
                <w:sz w:val="20"/>
              </w:rPr>
              <w:t>Expert judgement</w:t>
            </w:r>
          </w:p>
        </w:tc>
        <w:tc>
          <w:tcPr>
            <w:tcW w:type="dxa" w:w="2778"/>
            <w:tcW w:w="2778" w:type="dxa"/>
          </w:tcPr>
          <w:p>
            <w:pPr>
              <w:spacing w:line="240" w:lineRule="auto" w:after="0"/>
            </w:pPr>
            <w:r/>
            <w:r>
              <w:rPr>
                <w:rFonts w:ascii="Times New Roman" w:hAnsi="Times New Roman" w:cs="Times New Roman" w:eastAsia="Times New Roman"/>
                <w:sz w:val="20"/>
              </w:rPr>
              <w:t>Slow; often skipped in small teams</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GitHub Secret Protection and Code Security</w:t>
            </w:r>
          </w:p>
        </w:tc>
        <w:tc>
          <w:tcPr>
            <w:tcW w:type="dxa" w:w="1928"/>
            <w:tcW w:w="1927" w:type="dxa"/>
          </w:tcPr>
          <w:p>
            <w:pPr>
              <w:spacing w:line="240" w:lineRule="auto" w:after="0"/>
            </w:pPr>
            <w:r/>
            <w:r>
              <w:rPr>
                <w:rFonts w:ascii="Times New Roman" w:hAnsi="Times New Roman" w:cs="Times New Roman" w:eastAsia="Times New Roman"/>
                <w:sz w:val="20"/>
              </w:rPr>
              <w:t>USD 19 + 30 (about LKR 16,200) per active committer per month [18]</w:t>
            </w:r>
          </w:p>
        </w:tc>
        <w:tc>
          <w:tcPr>
            <w:tcW w:type="dxa" w:w="1701"/>
            <w:tcW w:w="1701" w:type="dxa"/>
          </w:tcPr>
          <w:p>
            <w:pPr>
              <w:spacing w:line="240" w:lineRule="auto" w:after="0"/>
            </w:pPr>
            <w:r/>
            <w:r>
              <w:rPr>
                <w:rFonts w:ascii="Times New Roman" w:hAnsi="Times New Roman" w:cs="Times New Roman" w:eastAsia="Times New Roman"/>
                <w:sz w:val="20"/>
              </w:rPr>
              <w:t>Mature secret scanning and semantic code analysis</w:t>
            </w:r>
          </w:p>
        </w:tc>
        <w:tc>
          <w:tcPr>
            <w:tcW w:type="dxa" w:w="2778"/>
            <w:tcW w:w="2778" w:type="dxa"/>
          </w:tcPr>
          <w:p>
            <w:pPr>
              <w:spacing w:line="240" w:lineRule="auto" w:after="0"/>
            </w:pPr>
            <w:r/>
            <w:r>
              <w:rPr>
                <w:rFonts w:ascii="Times New Roman" w:hAnsi="Times New Roman" w:cs="Times New Roman" w:eastAsia="Times New Roman"/>
                <w:sz w:val="20"/>
              </w:rPr>
              <w:t>Not linked to the generating agent; no generated tests; code must be hosted on GitHub</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Snyk</w:t>
            </w:r>
          </w:p>
        </w:tc>
        <w:tc>
          <w:tcPr>
            <w:tcW w:type="dxa" w:w="1928"/>
            <w:tcW w:w="1927" w:type="dxa"/>
          </w:tcPr>
          <w:p>
            <w:pPr>
              <w:spacing w:line="240" w:lineRule="auto" w:after="0"/>
            </w:pPr>
            <w:r/>
            <w:r>
              <w:rPr>
                <w:rFonts w:ascii="Times New Roman" w:hAnsi="Times New Roman" w:cs="Times New Roman" w:eastAsia="Times New Roman"/>
                <w:sz w:val="20"/>
              </w:rPr>
              <w:t>Free tier; Team from USD 25 a month for up to 10 developers [19]</w:t>
            </w:r>
          </w:p>
        </w:tc>
        <w:tc>
          <w:tcPr>
            <w:tcW w:type="dxa" w:w="1701"/>
            <w:tcW w:w="1701" w:type="dxa"/>
          </w:tcPr>
          <w:p>
            <w:pPr>
              <w:spacing w:line="240" w:lineRule="auto" w:after="0"/>
            </w:pPr>
            <w:r/>
            <w:r>
              <w:rPr>
                <w:rFonts w:ascii="Times New Roman" w:hAnsi="Times New Roman" w:cs="Times New Roman" w:eastAsia="Times New Roman"/>
                <w:sz w:val="20"/>
              </w:rPr>
              <w:t>Mature code and dependency scanning</w:t>
            </w:r>
          </w:p>
        </w:tc>
        <w:tc>
          <w:tcPr>
            <w:tcW w:type="dxa" w:w="2778"/>
            <w:tcW w:w="2778" w:type="dxa"/>
          </w:tcPr>
          <w:p>
            <w:pPr>
              <w:spacing w:line="240" w:lineRule="auto" w:after="0"/>
            </w:pPr>
            <w:r/>
            <w:r>
              <w:rPr>
                <w:rFonts w:ascii="Times New Roman" w:hAnsi="Times New Roman" w:cs="Times New Roman" w:eastAsia="Times New Roman"/>
                <w:sz w:val="20"/>
              </w:rPr>
              <w:t>No link to an approved design; no tests; no human gate in a generation pipeline</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SonarQube Cloud</w:t>
            </w:r>
          </w:p>
        </w:tc>
        <w:tc>
          <w:tcPr>
            <w:tcW w:type="dxa" w:w="1928"/>
            <w:tcW w:w="1927" w:type="dxa"/>
          </w:tcPr>
          <w:p>
            <w:pPr>
              <w:spacing w:line="240" w:lineRule="auto" w:after="0"/>
            </w:pPr>
            <w:r/>
            <w:r>
              <w:rPr>
                <w:rFonts w:ascii="Times New Roman" w:hAnsi="Times New Roman" w:cs="Times New Roman" w:eastAsia="Times New Roman"/>
                <w:sz w:val="20"/>
              </w:rPr>
              <w:t>Free up to 50k lines; Team from USD 34 a month [20]</w:t>
            </w:r>
          </w:p>
        </w:tc>
        <w:tc>
          <w:tcPr>
            <w:tcW w:type="dxa" w:w="1701"/>
            <w:tcW w:w="1701" w:type="dxa"/>
          </w:tcPr>
          <w:p>
            <w:pPr>
              <w:spacing w:line="240" w:lineRule="auto" w:after="0"/>
            </w:pPr>
            <w:r/>
            <w:r>
              <w:rPr>
                <w:rFonts w:ascii="Times New Roman" w:hAnsi="Times New Roman" w:cs="Times New Roman" w:eastAsia="Times New Roman"/>
                <w:sz w:val="20"/>
              </w:rPr>
              <w:t>Repeatable rule-based code quality and security</w:t>
            </w:r>
          </w:p>
        </w:tc>
        <w:tc>
          <w:tcPr>
            <w:tcW w:type="dxa" w:w="2778"/>
            <w:tcW w:w="2778" w:type="dxa"/>
          </w:tcPr>
          <w:p>
            <w:pPr>
              <w:spacing w:line="240" w:lineRule="auto" w:after="0"/>
            </w:pPr>
            <w:r/>
            <w:r>
              <w:rPr>
                <w:rFonts w:ascii="Times New Roman" w:hAnsi="Times New Roman" w:cs="Times New Roman" w:eastAsia="Times New Roman"/>
                <w:sz w:val="20"/>
              </w:rPr>
              <w:t>Rules only; no model reach; no tests or fix loop</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Agent frameworks with QA roles, e.g. MetaGPT [2], AgentCoder [7]</w:t>
            </w:r>
          </w:p>
        </w:tc>
        <w:tc>
          <w:tcPr>
            <w:tcW w:type="dxa" w:w="1928"/>
            <w:tcW w:w="1927" w:type="dxa"/>
          </w:tcPr>
          <w:p>
            <w:pPr>
              <w:spacing w:line="240" w:lineRule="auto" w:after="0"/>
            </w:pPr>
            <w:r/>
            <w:r>
              <w:rPr>
                <w:rFonts w:ascii="Times New Roman" w:hAnsi="Times New Roman" w:cs="Times New Roman" w:eastAsia="Times New Roman"/>
                <w:sz w:val="20"/>
              </w:rPr>
              <w:t>Free (open source) plus model fees</w:t>
            </w:r>
          </w:p>
        </w:tc>
        <w:tc>
          <w:tcPr>
            <w:tcW w:type="dxa" w:w="1701"/>
            <w:tcW w:w="1701" w:type="dxa"/>
          </w:tcPr>
          <w:p>
            <w:pPr>
              <w:spacing w:line="240" w:lineRule="auto" w:after="0"/>
            </w:pPr>
            <w:r/>
            <w:r>
              <w:rPr>
                <w:rFonts w:ascii="Times New Roman" w:hAnsi="Times New Roman" w:cs="Times New Roman" w:eastAsia="Times New Roman"/>
                <w:sz w:val="20"/>
              </w:rPr>
              <w:t>Testing inside the pipeline</w:t>
            </w:r>
          </w:p>
        </w:tc>
        <w:tc>
          <w:tcPr>
            <w:tcW w:type="dxa" w:w="2778"/>
            <w:tcW w:w="2778" w:type="dxa"/>
          </w:tcPr>
          <w:p>
            <w:pPr>
              <w:spacing w:line="240" w:lineRule="auto" w:after="0"/>
            </w:pPr>
            <w:r/>
            <w:r>
              <w:rPr>
                <w:rFonts w:ascii="Times New Roman" w:hAnsi="Times New Roman" w:cs="Times New Roman" w:eastAsia="Times New Roman"/>
                <w:sz w:val="20"/>
              </w:rPr>
              <w:t>Agents review agents; no person decides; no security stage</w:t>
            </w:r>
          </w:p>
        </w:tc>
      </w:tr>
      <w:tr>
        <w:trPr>
          <w:cantSplit w:val="true"/>
        </w:trPr>
        <w:tc>
          <w:tcPr>
            <w:tcW w:type="dxa" w:w="1814"/>
            <w:tcW w:w="1814" w:type="dxa"/>
          </w:tcPr>
          <w:p>
            <w:pPr>
              <w:spacing w:line="240" w:lineRule="auto" w:after="0"/>
            </w:pPr>
            <w:r/>
            <w:r>
              <w:rPr>
                <w:rFonts w:ascii="Times New Roman" w:hAnsi="Times New Roman" w:cs="Times New Roman" w:eastAsia="Times New Roman"/>
                <w:sz w:val="20"/>
              </w:rPr>
              <w:t>This component (within AutoForge)</w:t>
            </w:r>
          </w:p>
        </w:tc>
        <w:tc>
          <w:tcPr>
            <w:tcW w:type="dxa" w:w="1928"/>
            <w:tcW w:w="1927" w:type="dxa"/>
          </w:tcPr>
          <w:p>
            <w:pPr>
              <w:spacing w:line="240" w:lineRule="auto" w:after="0"/>
            </w:pPr>
            <w:r/>
            <w:r>
              <w:rPr>
                <w:rFonts w:ascii="Times New Roman" w:hAnsi="Times New Roman" w:cs="Times New Roman" w:eastAsia="Times New Roman"/>
                <w:sz w:val="20"/>
              </w:rPr>
              <w:t>Included from the free Community edition</w:t>
            </w:r>
          </w:p>
        </w:tc>
        <w:tc>
          <w:tcPr>
            <w:tcW w:type="dxa" w:w="1701"/>
            <w:tcW w:w="1701" w:type="dxa"/>
          </w:tcPr>
          <w:p>
            <w:pPr>
              <w:spacing w:line="240" w:lineRule="auto" w:after="0"/>
            </w:pPr>
            <w:r/>
            <w:r>
              <w:rPr>
                <w:rFonts w:ascii="Times New Roman" w:hAnsi="Times New Roman" w:cs="Times New Roman" w:eastAsia="Times New Roman"/>
                <w:sz w:val="20"/>
              </w:rPr>
              <w:t>Deterministic core, model reach, executed tests, fix loop, human decision</w:t>
            </w:r>
          </w:p>
        </w:tc>
        <w:tc>
          <w:tcPr>
            <w:tcW w:type="dxa" w:w="2778"/>
            <w:tcW w:w="2778" w:type="dxa"/>
          </w:tcPr>
          <w:p>
            <w:pPr>
              <w:spacing w:line="240" w:lineRule="auto" w:after="0"/>
            </w:pPr>
            <w:r/>
            <w:r>
              <w:rPr>
                <w:rFonts w:ascii="Times New Roman" w:hAnsi="Times New Roman" w:cs="Times New Roman" w:eastAsia="Times New Roman"/>
                <w:sz w:val="20"/>
              </w:rPr>
              <w:t>Small rule set; noisy model layer; generated tests not yet reliable</w:t>
            </w:r>
          </w:p>
        </w:tc>
      </w:tr>
    </w:tbl>
    <w:p>
      <w:pPr>
        <w:spacing w:after="0"/>
      </w:pPr>
    </w:p>
    <w:p>
      <w:pPr>
        <w:jc w:val="both"/>
      </w:pPr>
      <w:r>
        <w:rPr>
          <w:rFonts w:ascii="Times New Roman" w:hAnsi="Times New Roman" w:cs="Times New Roman" w:eastAsia="Times New Roman"/>
        </w:rPr>
        <w:t>The component should not try to compete with these scanners on their own ground. Their rule sets are larger and more mature, and they are cheap. Its position is different: it is the verification stage of a pipeline that generates the code, so its findings go straight back to the agent that can fix them, its tests are written for the feature that was just built, and a person decides what happens next. It also runs entirely on the customer's machine, so the code never has to leave it. A team that already uses one of the tools in Table 8.2 can keep it; this component adds the link between finding a problem and fixing it during generation.</w:t>
      </w:r>
    </w:p>
    <w:p>
      <w:pPr>
        <w:pStyle w:val="Heading2"/>
      </w:pPr>
      <w:r>
        <w:rPr>
          <w:rFonts w:ascii="Times New Roman" w:hAnsi="Times New Roman" w:cs="Times New Roman" w:eastAsia="Times New Roman"/>
        </w:rPr>
        <w:t>8.3 Business or sustainability model</w:t>
      </w:r>
    </w:p>
    <w:p>
      <w:pPr>
        <w:jc w:val="both"/>
      </w:pPr>
      <w:r>
        <w:rPr>
          <w:rFonts w:ascii="Times New Roman" w:hAnsi="Times New Roman" w:cs="Times New Roman" w:eastAsia="Times New Roman"/>
        </w:rPr>
        <w:t>The component fits within the open-core model and the packages proposed in the common report (Table 7.5): a free self-hosted Community edition, Team seats at LKR 6,000 per month, Agency seats at LKR 10,000 per month, and enterprise and academic licences. Security and QA are included in every package, because a pipeline that generates unchecked code would undermine the whole product. Table 8.3 shows the paid elements that depend directly on my work.</w:t>
      </w:r>
    </w:p>
    <w:p>
      <w:pPr>
        <w:pStyle w:val="Caption"/>
        <w:keepNext/>
        <w:jc w:val="center"/>
      </w:pPr>
      <w:r>
        <w:rPr>
          <w:rFonts w:ascii="Times New Roman" w:hAnsi="Times New Roman" w:cs="Times New Roman" w:eastAsia="Times New Roman"/>
        </w:rPr>
        <w:t>Table 8.3: Revenue elements that depend on this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154"/>
            <w:shd w:val="clear" w:color="auto" w:fill="D9D9D9"/>
            <w:tcW w:w="2154" w:type="dxa"/>
          </w:tcPr>
          <w:p>
            <w:pPr>
              <w:spacing w:line="240" w:lineRule="auto" w:after="0"/>
            </w:pPr>
            <w:r/>
            <w:r>
              <w:rPr>
                <w:rFonts w:ascii="Times New Roman" w:hAnsi="Times New Roman" w:cs="Times New Roman" w:eastAsia="Times New Roman"/>
                <w:b/>
                <w:sz w:val="20"/>
              </w:rPr>
              <w:t>Revenue element</w:t>
            </w:r>
          </w:p>
        </w:tc>
        <w:tc>
          <w:tcPr>
            <w:tcW w:type="dxa" w:w="2098"/>
            <w:shd w:val="clear" w:color="auto" w:fill="D9D9D9"/>
            <w:tcW w:w="2097" w:type="dxa"/>
          </w:tcPr>
          <w:p>
            <w:pPr>
              <w:spacing w:line="240" w:lineRule="auto" w:after="0"/>
            </w:pPr>
            <w:r/>
            <w:r>
              <w:rPr>
                <w:rFonts w:ascii="Times New Roman" w:hAnsi="Times New Roman" w:cs="Times New Roman" w:eastAsia="Times New Roman"/>
                <w:b/>
                <w:sz w:val="20"/>
              </w:rPr>
              <w:t>Price</w:t>
            </w:r>
          </w:p>
        </w:tc>
        <w:tc>
          <w:tcPr>
            <w:tcW w:type="dxa" w:w="3969"/>
            <w:shd w:val="clear" w:color="auto" w:fill="D9D9D9"/>
            <w:tcW w:w="3969" w:type="dxa"/>
          </w:tcPr>
          <w:p>
            <w:pPr>
              <w:spacing w:line="240" w:lineRule="auto" w:after="0"/>
            </w:pPr>
            <w:r/>
            <w:r>
              <w:rPr>
                <w:rFonts w:ascii="Times New Roman" w:hAnsi="Times New Roman" w:cs="Times New Roman" w:eastAsia="Times New Roman"/>
                <w:b/>
                <w:sz w:val="20"/>
              </w:rPr>
              <w:t>What this component contributes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Client-ready reports (Agency package)</w:t>
            </w:r>
          </w:p>
        </w:tc>
        <w:tc>
          <w:tcPr>
            <w:tcW w:type="dxa" w:w="2098"/>
            <w:tcW w:w="2097" w:type="dxa"/>
          </w:tcPr>
          <w:p>
            <w:pPr>
              <w:spacing w:line="240" w:lineRule="auto" w:after="0"/>
            </w:pPr>
            <w:r/>
            <w:r>
              <w:rPr>
                <w:rFonts w:ascii="Times New Roman" w:hAnsi="Times New Roman" w:cs="Times New Roman" w:eastAsia="Times New Roman"/>
                <w:sz w:val="20"/>
              </w:rPr>
              <w:t>LKR 10,000 per seat per month</w:t>
            </w:r>
          </w:p>
        </w:tc>
        <w:tc>
          <w:tcPr>
            <w:tcW w:type="dxa" w:w="3969"/>
            <w:tcW w:w="3969" w:type="dxa"/>
          </w:tcPr>
          <w:p>
            <w:pPr>
              <w:spacing w:line="240" w:lineRule="auto" w:after="0"/>
            </w:pPr>
            <w:r/>
            <w:r>
              <w:rPr>
                <w:rFonts w:ascii="Times New Roman" w:hAnsi="Times New Roman" w:cs="Times New Roman" w:eastAsia="Times New Roman"/>
                <w:sz w:val="20"/>
              </w:rPr>
              <w:t>Security and QA reports already export to PDF; the Agency package adds client branding and a summary page for hand-over</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Curated security rule packs</w:t>
            </w:r>
          </w:p>
        </w:tc>
        <w:tc>
          <w:tcPr>
            <w:tcW w:type="dxa" w:w="2098"/>
            <w:tcW w:w="2097" w:type="dxa"/>
          </w:tcPr>
          <w:p>
            <w:pPr>
              <w:spacing w:line="240" w:lineRule="auto" w:after="0"/>
            </w:pPr>
            <w:r/>
            <w:r>
              <w:rPr>
                <w:rFonts w:ascii="Times New Roman" w:hAnsi="Times New Roman" w:cs="Times New Roman" w:eastAsia="Times New Roman"/>
                <w:sz w:val="20"/>
              </w:rPr>
              <w:t>Proposed at LKR 30,000 per pack, like knowledge packs</w:t>
            </w:r>
          </w:p>
        </w:tc>
        <w:tc>
          <w:tcPr>
            <w:tcW w:type="dxa" w:w="3969"/>
            <w:tcW w:w="3969" w:type="dxa"/>
          </w:tcPr>
          <w:p>
            <w:pPr>
              <w:spacing w:line="240" w:lineRule="auto" w:after="0"/>
            </w:pPr>
            <w:r/>
            <w:r>
              <w:rPr>
                <w:rFonts w:ascii="Times New Roman" w:hAnsi="Times New Roman" w:cs="Times New Roman" w:eastAsia="Times New Roman"/>
                <w:sz w:val="20"/>
              </w:rPr>
              <w:t>The rule tables are small and separately tested, so rules for a new framework can be added as a pack</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Hosted deep scans and test runs</w:t>
            </w:r>
          </w:p>
        </w:tc>
        <w:tc>
          <w:tcPr>
            <w:tcW w:type="dxa" w:w="2098"/>
            <w:tcW w:w="2097" w:type="dxa"/>
          </w:tcPr>
          <w:p>
            <w:pPr>
              <w:spacing w:line="240" w:lineRule="auto" w:after="0"/>
            </w:pPr>
            <w:r/>
            <w:r>
              <w:rPr>
                <w:rFonts w:ascii="Times New Roman" w:hAnsi="Times New Roman" w:cs="Times New Roman" w:eastAsia="Times New Roman"/>
                <w:sz w:val="20"/>
              </w:rPr>
              <w:t>Part of each hosted feature run; extra runs LKR 400</w:t>
            </w:r>
          </w:p>
        </w:tc>
        <w:tc>
          <w:tcPr>
            <w:tcW w:type="dxa" w:w="3969"/>
            <w:tcW w:w="3969" w:type="dxa"/>
          </w:tcPr>
          <w:p>
            <w:pPr>
              <w:spacing w:line="240" w:lineRule="auto" w:after="0"/>
            </w:pPr>
            <w:r/>
            <w:r>
              <w:rPr>
                <w:rFonts w:ascii="Times New Roman" w:hAnsi="Times New Roman" w:cs="Times New Roman" w:eastAsia="Times New Roman"/>
                <w:sz w:val="20"/>
              </w:rPr>
              <w:t>The AI deep scan and Jest runs execute on the hosted service for teams without capable hardware</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Enterprise / on-premise licence</w:t>
            </w:r>
          </w:p>
        </w:tc>
        <w:tc>
          <w:tcPr>
            <w:tcW w:type="dxa" w:w="2098"/>
            <w:tcW w:w="2097" w:type="dxa"/>
          </w:tcPr>
          <w:p>
            <w:pPr>
              <w:spacing w:line="240" w:lineRule="auto" w:after="0"/>
            </w:pPr>
            <w:r/>
            <w:r>
              <w:rPr>
                <w:rFonts w:ascii="Times New Roman" w:hAnsi="Times New Roman" w:cs="Times New Roman" w:eastAsia="Times New Roman"/>
                <w:sz w:val="20"/>
              </w:rPr>
              <w:t>From LKR 1,500,000 per year</w:t>
            </w:r>
          </w:p>
        </w:tc>
        <w:tc>
          <w:tcPr>
            <w:tcW w:type="dxa" w:w="3969"/>
            <w:tcW w:w="3969" w:type="dxa"/>
          </w:tcPr>
          <w:p>
            <w:pPr>
              <w:spacing w:line="240" w:lineRule="auto" w:after="0"/>
            </w:pPr>
            <w:r/>
            <w:r>
              <w:rPr>
                <w:rFonts w:ascii="Times New Roman" w:hAnsi="Times New Roman" w:cs="Times New Roman" w:eastAsia="Times New Roman"/>
                <w:sz w:val="20"/>
              </w:rPr>
              <w:t>All scans and tests run inside the customer's network; no code leaves it</w:t>
            </w:r>
          </w:p>
        </w:tc>
      </w:tr>
    </w:tbl>
    <w:p>
      <w:pPr>
        <w:spacing w:after="0"/>
      </w:pPr>
    </w:p>
    <w:p>
      <w:pPr>
        <w:jc w:val="both"/>
      </w:pPr>
      <w:r>
        <w:rPr>
          <w:rFonts w:ascii="Times New Roman" w:hAnsi="Times New Roman" w:cs="Times New Roman" w:eastAsia="Times New Roman"/>
        </w:rPr>
        <w:t>The cost of running the component is modest and predictable. A security scan took minutes rather than tens of minutes in the stored reports (Section 6.4). The deep scan sends the source to the model in batches of up to 12,000 characters, so its cost grows with the size of the code; a hosted version should therefore scan only the files a feature changed, or count larger scans as more than one run. With the local model, all of this costs nothing in API fees, and a whole hosted feature run costs at most about LKR 160 in model fees.</w:t>
      </w:r>
    </w:p>
    <w:p>
      <w:pPr>
        <w:jc w:val="both"/>
      </w:pPr>
      <w:r>
        <w:rPr>
          <w:rFonts w:ascii="Times New Roman" w:hAnsi="Times New Roman" w:cs="Times New Roman" w:eastAsia="Times New Roman"/>
        </w:rPr>
        <w:t>The results in Chapter 6 also say clearly what must be fixed before the component could be sold. Table 8.4 lists the changes. A security product cannot ship with a check that may silently not have run, or with tests that fail because of their own mistakes.</w:t>
      </w:r>
    </w:p>
    <w:p>
      <w:pPr>
        <w:pStyle w:val="Caption"/>
        <w:keepNext/>
        <w:jc w:val="center"/>
      </w:pPr>
      <w:r>
        <w:rPr>
          <w:rFonts w:ascii="Times New Roman" w:hAnsi="Times New Roman" w:cs="Times New Roman" w:eastAsia="Times New Roman"/>
        </w:rPr>
        <w:t>Table 8.4: Work needed before a commercial release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381"/>
            <w:shd w:val="clear" w:color="auto" w:fill="D9D9D9"/>
            <w:tcW w:w="2381" w:type="dxa"/>
          </w:tcPr>
          <w:p>
            <w:pPr>
              <w:spacing w:line="240" w:lineRule="auto" w:after="0"/>
            </w:pPr>
            <w:r/>
            <w:r>
              <w:rPr>
                <w:rFonts w:ascii="Times New Roman" w:hAnsi="Times New Roman" w:cs="Times New Roman" w:eastAsia="Times New Roman"/>
                <w:b/>
                <w:sz w:val="20"/>
              </w:rPr>
              <w:t>Issue found</w:t>
            </w:r>
          </w:p>
        </w:tc>
        <w:tc>
          <w:tcPr>
            <w:tcW w:type="dxa" w:w="2041"/>
            <w:shd w:val="clear" w:color="auto" w:fill="D9D9D9"/>
            <w:tcW w:w="2041" w:type="dxa"/>
          </w:tcPr>
          <w:p>
            <w:pPr>
              <w:spacing w:line="240" w:lineRule="auto" w:after="0"/>
            </w:pPr>
            <w:r/>
            <w:r>
              <w:rPr>
                <w:rFonts w:ascii="Times New Roman" w:hAnsi="Times New Roman" w:cs="Times New Roman" w:eastAsia="Times New Roman"/>
                <w:b/>
                <w:sz w:val="20"/>
              </w:rPr>
              <w:t>Evidence</w:t>
            </w:r>
          </w:p>
        </w:tc>
        <w:tc>
          <w:tcPr>
            <w:tcW w:type="dxa" w:w="3798"/>
            <w:shd w:val="clear" w:color="auto" w:fill="D9D9D9"/>
            <w:tcW w:w="3798" w:type="dxa"/>
          </w:tcPr>
          <w:p>
            <w:pPr>
              <w:spacing w:line="240" w:lineRule="auto" w:after="0"/>
            </w:pPr>
            <w:r/>
            <w:r>
              <w:rPr>
                <w:rFonts w:ascii="Times New Roman" w:hAnsi="Times New Roman" w:cs="Times New Roman" w:eastAsia="Times New Roman"/>
                <w:b/>
                <w:sz w:val="20"/>
              </w:rPr>
              <w:t>Change needed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The dependency audit ran offline and may not have checked anything</w:t>
            </w:r>
          </w:p>
        </w:tc>
        <w:tc>
          <w:tcPr>
            <w:tcW w:type="dxa" w:w="2041"/>
            <w:tcW w:w="2041" w:type="dxa"/>
          </w:tcPr>
          <w:p>
            <w:pPr>
              <w:spacing w:line="240" w:lineRule="auto" w:after="0"/>
            </w:pPr>
            <w:r/>
            <w:r>
              <w:rPr>
                <w:rFonts w:ascii="Times New Roman" w:hAnsi="Times New Roman" w:cs="Times New Roman" w:eastAsia="Times New Roman"/>
                <w:sz w:val="20"/>
              </w:rPr>
              <w:t>Section 6.2.1</w:t>
            </w:r>
          </w:p>
        </w:tc>
        <w:tc>
          <w:tcPr>
            <w:tcW w:type="dxa" w:w="3798"/>
            <w:tcW w:w="3798" w:type="dxa"/>
          </w:tcPr>
          <w:p>
            <w:pPr>
              <w:spacing w:line="240" w:lineRule="auto" w:after="0"/>
            </w:pPr>
            <w:r/>
            <w:r>
              <w:rPr>
                <w:rFonts w:ascii="Times New Roman" w:hAnsi="Times New Roman" w:cs="Times New Roman" w:eastAsia="Times New Roman"/>
                <w:sz w:val="20"/>
              </w:rPr>
              <w:t>Run the audit online and state in the report whether advisory data was consulted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No model-generated test passed in the stored runs, all because of test defects</w:t>
            </w:r>
          </w:p>
        </w:tc>
        <w:tc>
          <w:tcPr>
            <w:tcW w:type="dxa" w:w="2041"/>
            <w:tcW w:w="2041" w:type="dxa"/>
          </w:tcPr>
          <w:p>
            <w:pPr>
              <w:spacing w:line="240" w:lineRule="auto" w:after="0"/>
            </w:pPr>
            <w:r/>
            <w:r>
              <w:rPr>
                <w:rFonts w:ascii="Times New Roman" w:hAnsi="Times New Roman" w:cs="Times New Roman" w:eastAsia="Times New Roman"/>
                <w:sz w:val="20"/>
              </w:rPr>
              <w:t>Table 6.3</w:t>
            </w:r>
          </w:p>
        </w:tc>
        <w:tc>
          <w:tcPr>
            <w:tcW w:type="dxa" w:w="3798"/>
            <w:tcW w:w="3798" w:type="dxa"/>
          </w:tcPr>
          <w:p>
            <w:pPr>
              <w:spacing w:line="240" w:lineRule="auto" w:after="0"/>
            </w:pPr>
            <w:r/>
            <w:r>
              <w:rPr>
                <w:rFonts w:ascii="Times New Roman" w:hAnsi="Times New Roman" w:cs="Times New Roman" w:eastAsia="Times New Roman"/>
                <w:sz w:val="20"/>
              </w:rPr>
              <w:t>Run and repair generated tests before reporting; check that every handler a test calls is imported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Deep-scan results on identical code varied from 4 to 9 findings</w:t>
            </w:r>
          </w:p>
        </w:tc>
        <w:tc>
          <w:tcPr>
            <w:tcW w:type="dxa" w:w="2041"/>
            <w:tcW w:w="2041" w:type="dxa"/>
          </w:tcPr>
          <w:p>
            <w:pPr>
              <w:spacing w:line="240" w:lineRule="auto" w:after="0"/>
            </w:pPr>
            <w:r/>
            <w:r>
              <w:rPr>
                <w:rFonts w:ascii="Times New Roman" w:hAnsi="Times New Roman" w:cs="Times New Roman" w:eastAsia="Times New Roman"/>
                <w:sz w:val="20"/>
              </w:rPr>
              <w:t>Section 6.2.2</w:t>
            </w:r>
          </w:p>
        </w:tc>
        <w:tc>
          <w:tcPr>
            <w:tcW w:type="dxa" w:w="3798"/>
            <w:tcW w:w="3798" w:type="dxa"/>
          </w:tcPr>
          <w:p>
            <w:pPr>
              <w:spacing w:line="240" w:lineRule="auto" w:after="0"/>
            </w:pPr>
            <w:r/>
            <w:r>
              <w:rPr>
                <w:rFonts w:ascii="Times New Roman" w:hAnsi="Times New Roman" w:cs="Times New Roman" w:eastAsia="Times New Roman"/>
                <w:sz w:val="20"/>
              </w:rPr>
              <w:t>Run the deep scan more than once and mark only recurring findings as confident</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The review layer added only mislabelled duplicates</w:t>
            </w:r>
          </w:p>
        </w:tc>
        <w:tc>
          <w:tcPr>
            <w:tcW w:type="dxa" w:w="2041"/>
            <w:tcW w:w="2041" w:type="dxa"/>
          </w:tcPr>
          <w:p>
            <w:pPr>
              <w:spacing w:line="240" w:lineRule="auto" w:after="0"/>
            </w:pPr>
            <w:r/>
            <w:r>
              <w:rPr>
                <w:rFonts w:ascii="Times New Roman" w:hAnsi="Times New Roman" w:cs="Times New Roman" w:eastAsia="Times New Roman"/>
                <w:sz w:val="20"/>
              </w:rPr>
              <w:t>Section 6.2.1</w:t>
            </w:r>
          </w:p>
        </w:tc>
        <w:tc>
          <w:tcPr>
            <w:tcW w:type="dxa" w:w="3798"/>
            <w:tcW w:w="3798" w:type="dxa"/>
          </w:tcPr>
          <w:p>
            <w:pPr>
              <w:spacing w:line="240" w:lineRule="auto" w:after="0"/>
            </w:pPr>
            <w:r/>
            <w:r>
              <w:rPr>
                <w:rFonts w:ascii="Times New Roman" w:hAnsi="Times New Roman" w:cs="Times New Roman" w:eastAsia="Times New Roman"/>
                <w:sz w:val="20"/>
              </w:rPr>
              <w:t>Remove it or give it the source code, as the deep scan has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The fix for an injection triggered a new rule finding</w:t>
            </w:r>
          </w:p>
        </w:tc>
        <w:tc>
          <w:tcPr>
            <w:tcW w:type="dxa" w:w="2041"/>
            <w:tcW w:w="2041" w:type="dxa"/>
          </w:tcPr>
          <w:p>
            <w:pPr>
              <w:spacing w:line="240" w:lineRule="auto" w:after="0"/>
            </w:pPr>
            <w:r/>
            <w:r>
              <w:rPr>
                <w:rFonts w:ascii="Times New Roman" w:hAnsi="Times New Roman" w:cs="Times New Roman" w:eastAsia="Times New Roman"/>
                <w:sz w:val="20"/>
              </w:rPr>
              <w:t>Section 6.2.4</w:t>
            </w:r>
          </w:p>
        </w:tc>
        <w:tc>
          <w:tcPr>
            <w:tcW w:type="dxa" w:w="3798"/>
            <w:tcW w:w="3798" w:type="dxa"/>
          </w:tcPr>
          <w:p>
            <w:pPr>
              <w:spacing w:line="240" w:lineRule="auto" w:after="0"/>
            </w:pPr>
            <w:r/>
            <w:r>
              <w:rPr>
                <w:rFonts w:ascii="Times New Roman" w:hAnsi="Times New Roman" w:cs="Times New Roman" w:eastAsia="Times New Roman"/>
                <w:sz w:val="20"/>
              </w:rPr>
              <w:t>Teach the dynamic property rule to recognise an allow-list check</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Some stored reports quote credentials found in the code</w:t>
            </w:r>
          </w:p>
        </w:tc>
        <w:tc>
          <w:tcPr>
            <w:tcW w:type="dxa" w:w="2041"/>
            <w:tcW w:w="2041" w:type="dxa"/>
          </w:tcPr>
          <w:p>
            <w:pPr>
              <w:spacing w:line="240" w:lineRule="auto" w:after="0"/>
            </w:pPr>
            <w:r/>
            <w:r>
              <w:rPr>
                <w:rFonts w:ascii="Times New Roman" w:hAnsi="Times New Roman" w:cs="Times New Roman" w:eastAsia="Times New Roman"/>
                <w:sz w:val="20"/>
              </w:rPr>
              <w:t>Section 3.2</w:t>
            </w:r>
          </w:p>
        </w:tc>
        <w:tc>
          <w:tcPr>
            <w:tcW w:type="dxa" w:w="3798"/>
            <w:tcW w:w="3798" w:type="dxa"/>
          </w:tcPr>
          <w:p>
            <w:pPr>
              <w:spacing w:line="240" w:lineRule="auto" w:after="0"/>
            </w:pPr>
            <w:r/>
            <w:r>
              <w:rPr>
                <w:rFonts w:ascii="Times New Roman" w:hAnsi="Times New Roman" w:cs="Times New Roman" w:eastAsia="Times New Roman"/>
                <w:sz w:val="20"/>
              </w:rPr>
              <w:t>Mask every secret in reports before they are saved or shared</w:t>
            </w:r>
          </w:p>
        </w:tc>
      </w:tr>
    </w:tbl>
    <w:p>
      <w:pPr>
        <w:spacing w:after="0"/>
      </w:pPr>
    </w:p>
    <w:p>
      <w:pPr>
        <w:pStyle w:val="Heading2"/>
      </w:pPr>
      <w:r>
        <w:rPr>
          <w:rFonts w:ascii="Times New Roman" w:hAnsi="Times New Roman" w:cs="Times New Roman" w:eastAsia="Times New Roman"/>
        </w:rPr>
        <w:t>8.4 Scalability intellectual property and compliance</w:t>
      </w:r>
    </w:p>
    <w:p>
      <w:pPr>
        <w:jc w:val="both"/>
      </w:pPr>
      <w:r>
        <w:rPr>
          <w:rFonts w:ascii="Times New Roman" w:hAnsi="Times New Roman" w:cs="Times New Roman" w:eastAsia="Times New Roman"/>
        </w:rPr>
        <w:t>Scalability. The deterministic scans are fast and run on each file independently. The deep scan already batches the source and runs up to three batches at a time, and a failed batch is skipped without stopping the scan, which is the right behaviour for a service under load. Dependency audits and test runs use the same Docker sandbox as the Coder Agent, so a hosted service can size one pool of sandboxes for both. The main scaling cost is the deep scan on large codebases, which is why scanning changed files only matters for a hosted product.</w:t>
      </w:r>
    </w:p>
    <w:p>
      <w:pPr>
        <w:jc w:val="both"/>
      </w:pPr>
      <w:r>
        <w:rPr>
          <w:rFonts w:ascii="Times New Roman" w:hAnsi="Times New Roman" w:cs="Times New Roman" w:eastAsia="Times New Roman"/>
        </w:rPr>
        <w:t>Intellectual property. Reports and generated tests belong to the customer, along with the code they describe. The rule tables, severity mapping and test-generation fallbacks are the team's own work and would be the basis of paid rule packs. The component relies on the TypeScript compiler, npm and Jest, so their licences must be reviewed before release, together with the university's intellectual property policy for the code itself. A CWE identifier is a public classification, so referring to it in reports raises no ownership issue.</w:t>
      </w:r>
    </w:p>
    <w:p>
      <w:pPr>
        <w:jc w:val="both"/>
      </w:pPr>
      <w:r>
        <w:rPr>
          <w:rFonts w:ascii="Times New Roman" w:hAnsi="Times New Roman" w:cs="Times New Roman" w:eastAsia="Times New Roman"/>
        </w:rPr>
        <w:t>Compliance. Sri Lanka's Personal Data Protection Act, No. 9 of 2022, takes effect on 1 January 2027 [17]. The Act requires organisations to process personal data securely and to report breaches, so an online store's security matters legally as well as commercially. This component helps a store operator meet those duties by catching exposed credentials, injection risks and weak password hashing before release, and its reports give a record that the code was checked. It does not make a store compliant on its own, and the reports must say so: they present the gate decision as advice, state what was not checked, and label findings from the model. The component also handles sensitive material itself. The secret scanner already skips the gitignored local environment files where real secrets belong, but every report must mask the secrets it finds, because a report is shared more widely than the code.</w:t>
      </w:r>
    </w:p>
    <w:p>
      <w:pPr>
        <w:pStyle w:val="Heading2"/>
      </w:pPr>
      <w:r>
        <w:rPr>
          <w:rFonts w:ascii="Times New Roman" w:hAnsi="Times New Roman" w:cs="Times New Roman" w:eastAsia="Times New Roman"/>
        </w:rPr>
        <w:t>8.5 Contribution to the Sustainable Development Goals</w:t>
      </w:r>
    </w:p>
    <w:p>
      <w:pPr>
        <w:jc w:val="both"/>
      </w:pPr>
      <w:r>
        <w:rPr>
          <w:rFonts w:ascii="Times New Roman" w:hAnsi="Times New Roman" w:cs="Times New Roman" w:eastAsia="Times New Roman"/>
        </w:rPr>
        <w:t>The common report links AutoForge to SDG 9 (Industry, Innovation and Infrastructure) and SDG 8 (Decent Work and Economic Growth). My component's contribution to SDG 9, and in particular target 9.5 on upgrading technological capabilities, is safer AI-assisted software development for small firms, which can run security checks and tests locally without specialist staff. Its contribution to SDG 8, targets 8.2 and 8.3, would come through fewer security defects reaching small online businesses and their customers, and less time spent fixing problems after release.</w:t>
      </w:r>
    </w:p>
    <w:p>
      <w:pPr>
        <w:jc w:val="both"/>
      </w:pPr>
      <w:r>
        <w:rPr>
          <w:rFonts w:ascii="Times New Roman" w:hAnsi="Times New Roman" w:cs="Times New Roman" w:eastAsia="Times New Roman"/>
        </w:rPr>
        <w:t>These contributions are potential rather than demonstrated. The main negative effect to guard against is false confidence: a clean report, especially from the deep scan, can be read as "secure", which no automated tool can promise. The reports therefore present the gate decision as advice, state what was not checked and label model findings. Used this way, the component can also help developers learn, since every finding comes with a root cause, a CWE class and a recommendation. A responsible next step would be a pilot with a small agency, measuring the defects found before and after release, the share of findings the reviewer accepts, and the time spent on review.</w:t>
      </w:r>
    </w:p>
    <w:p>
      <w:pPr/>
      <w:r>
        <w:br w:type="page"/>
      </w:r>
    </w:p>
    <w:p>
      <w:pPr>
        <w:pStyle w:val="Heading1"/>
      </w:pPr>
      <w:r>
        <w:rPr>
          <w:rFonts w:ascii="Times New Roman" w:hAnsi="Times New Roman" w:cs="Times New Roman" w:eastAsia="Times New Roman"/>
        </w:rPr>
        <w:t>REFERENCES TO ADD</w:t>
      </w:r>
    </w:p>
    <w:p>
      <w:pPr/>
      <w:r>
        <w:rPr>
          <w:rFonts w:ascii="Times New Roman" w:hAnsi="Times New Roman" w:cs="Times New Roman" w:eastAsia="Times New Roman"/>
        </w:rPr>
        <w:t>Append these entries to the end of the thesis reference list. The numbers continue from [14], the last entry in the current list.</w:t>
      </w:r>
    </w:p>
    <w:p>
      <w:pPr>
        <w:spacing w:line="240" w:lineRule="auto" w:after="240"/>
        <w:ind w:left="567" w:hanging="567"/>
      </w:pPr>
      <w:r>
        <w:rPr>
          <w:rFonts w:ascii="Times New Roman" w:hAnsi="Times New Roman" w:cs="Times New Roman" w:eastAsia="Times New Roman"/>
        </w:rPr>
        <w:t>[15] Stack Overflow, “2025 Developer Survey: AI,” 2025. [Online]. Available: https://survey.stackoverflow.co/2025/ai (accessed Oct. 8, 2026).</w:t>
      </w:r>
    </w:p>
    <w:p>
      <w:pPr>
        <w:spacing w:line="240" w:lineRule="auto" w:after="240"/>
        <w:ind w:left="567" w:hanging="567"/>
      </w:pPr>
      <w:r>
        <w:rPr>
          <w:rFonts w:ascii="Times New Roman" w:hAnsi="Times New Roman" w:cs="Times New Roman" w:eastAsia="Times New Roman"/>
        </w:rPr>
        <w:t>[16] “SLASSCOM reflects on a year of creating opportunities, strengthening Sri Lanka’s knowledge and innovation industry,” Daily FT, Jul. 15, 2026. [Online]. Available: https://www.ft.lk/it-telecom-tech/SLASSCOM-reflects-on-a-year-of-creating-opportunities-strengthening-Sri-Lanka-s-knowledge-and-innovation-industry/50-794672 (accessed Oct. 8, 2026).</w:t>
      </w:r>
    </w:p>
    <w:p>
      <w:pPr>
        <w:spacing w:line="240" w:lineRule="auto" w:after="240"/>
        <w:ind w:left="567" w:hanging="567"/>
      </w:pPr>
      <w:r>
        <w:rPr>
          <w:rFonts w:ascii="Times New Roman" w:hAnsi="Times New Roman" w:cs="Times New Roman" w:eastAsia="Times New Roman"/>
        </w:rPr>
        <w:t>[17] “Data protection compliance regime takes effect on 1 Jan. 2027,” Daily FT, 2026. [Online]. Available: https://www.ft.lk/front-page/Data-protection-compliance-regime-takes-effect-on-1-Jan-2027/44-795776 (accessed Oct. 8, 2026).</w:t>
      </w:r>
    </w:p>
    <w:p>
      <w:pPr>
        <w:spacing w:line="240" w:lineRule="auto" w:after="240"/>
        <w:ind w:left="567" w:hanging="567"/>
      </w:pPr>
      <w:r>
        <w:rPr>
          <w:rFonts w:ascii="Times New Roman" w:hAnsi="Times New Roman" w:cs="Times New Roman" w:eastAsia="Times New Roman"/>
        </w:rPr>
        <w:t>[18] GitHub, “GitHub security plans.” [Online]. Available: https://github.com/security/plans (accessed Oct. 8, 2026).</w:t>
      </w:r>
    </w:p>
    <w:p>
      <w:pPr>
        <w:spacing w:line="240" w:lineRule="auto" w:after="240"/>
        <w:ind w:left="567" w:hanging="567"/>
      </w:pPr>
      <w:r>
        <w:rPr>
          <w:rFonts w:ascii="Times New Roman" w:hAnsi="Times New Roman" w:cs="Times New Roman" w:eastAsia="Times New Roman"/>
        </w:rPr>
        <w:t>[19] Snyk, “Plans and pricing.” [Online]. Available: https://snyk.io/plans/ (accessed Oct. 8, 2026).</w:t>
      </w:r>
    </w:p>
    <w:p>
      <w:pPr>
        <w:spacing w:line="240" w:lineRule="auto" w:after="240"/>
        <w:ind w:left="567" w:hanging="567"/>
      </w:pPr>
      <w:r>
        <w:rPr>
          <w:rFonts w:ascii="Times New Roman" w:hAnsi="Times New Roman" w:cs="Times New Roman" w:eastAsia="Times New Roman"/>
        </w:rPr>
        <w:t>[20] SonarSource, “Plans and pricing.” [Online]. Available: https://www.sonarsource.com/plans-and-pricing/ (accessed Oct. 8, 2026).</w:t>
      </w:r>
    </w:p>
    <w:p>
      <w:pPr>
        <w:spacing w:line="240" w:lineRule="auto" w:after="240"/>
        <w:ind w:left="567" w:hanging="567"/>
      </w:pPr>
      <w:r>
        <w:rPr>
          <w:rFonts w:ascii="Times New Roman" w:hAnsi="Times New Roman" w:cs="Times New Roman" w:eastAsia="Times New Roman"/>
        </w:rPr>
        <w:t>[21] Exchange-Rates.org, “USD to LKR: Convert US Dollars to Sri Lanka Rupees.” [Online]. Available: https://www.exchange-rates.org/converter/usd-lkr (accessed Oct. 7, 2026).</w:t>
      </w:r>
    </w:p>
    <w:sectPr w:rsidR="00FC693F" w:rsidRPr="0006063C" w:rsidSect="00034616">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