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rPr>
        <w:t>8 COMMERCIALISATION AND SUSTAINABILITY</w:t>
      </w:r>
    </w:p>
    <w:p>
      <w:pPr>
        <w:pStyle w:val="Heading2"/>
      </w:pPr>
      <w:r>
        <w:rPr>
          <w:rFonts w:ascii="Times New Roman" w:hAnsi="Times New Roman" w:cs="Times New Roman" w:eastAsia="Times New Roman"/>
        </w:rPr>
        <w:t>8.1 Value proposition and target users</w:t>
      </w:r>
    </w:p>
    <w:p>
      <w:pPr>
        <w:jc w:val="both"/>
      </w:pPr>
      <w:r>
        <w:rPr>
          <w:rFonts w:ascii="Times New Roman" w:hAnsi="Times New Roman" w:cs="Times New Roman" w:eastAsia="Times New Roman"/>
        </w:rPr>
        <w:t>The team's common report argues that teams using AI to build software need to see and approve what the AI did. The Coder Agent is where that need is sharpest, because its output changes a running application. Developers already use AI to write code, but they do not fully trust it. In the 2025 Stack Overflow Developer Survey, 84% of developers used or planned to use AI tools, yet only 32.7% trusted the accuracy of the output. 66% named code that is "almost right, but not quite" as their biggest frustration, and 45.2% said that debugging AI-generated code takes too long [18].</w:t>
      </w:r>
    </w:p>
    <w:p>
      <w:pPr>
        <w:jc w:val="both"/>
      </w:pPr>
      <w:r>
        <w:rPr>
          <w:rFonts w:ascii="Times New Roman" w:hAnsi="Times New Roman" w:cs="Times New Roman" w:eastAsia="Times New Roman"/>
        </w:rPr>
        <w:t>The component's value is not that it writes code, which many tools do, but that every change arrives with evidence. The plan is checked against the approved design before any code is written. The code is written on its own git branch, verified in a Docker sandbox against ten hard gates, and described in a merge report built from the real diff. A single decision then merges the branch or throws it away, and an approved merge can be undone (Table 6.1). The evaluation shows that this evidence is useful. Verification caught real failures before any person saw them: a missing dependency, an import that did not match the scaffold, and a data model requiring four fields that no form collected (Table 6.2). When Docker was not running, the report said so plainly instead of crashing. For a small agency, this turns AI-written code from something checked line by line on trust into something with evidence attached.</w:t>
      </w:r>
    </w:p>
    <w:p>
      <w:pPr>
        <w:jc w:val="both"/>
      </w:pPr>
      <w:r>
        <w:rPr>
          <w:rFonts w:ascii="Times New Roman" w:hAnsi="Times New Roman" w:cs="Times New Roman" w:eastAsia="Times New Roman"/>
        </w:rPr>
        <w:t>Table 8.1 shows who would use the component and what each group gains.</w:t>
      </w:r>
    </w:p>
    <w:p>
      <w:pPr>
        <w:pStyle w:val="Caption"/>
        <w:keepNext/>
        <w:jc w:val="center"/>
      </w:pPr>
      <w:r>
        <w:rPr>
          <w:rFonts w:ascii="Times New Roman" w:hAnsi="Times New Roman" w:cs="Times New Roman" w:eastAsia="Times New Roman"/>
        </w:rPr>
        <w:t>Table 8.1: Target users of the component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2041"/>
            <w:shd w:val="clear" w:color="auto" w:fill="D9D9D9"/>
            <w:tcW w:w="2041" w:type="dxa"/>
          </w:tcPr>
          <w:p>
            <w:pPr>
              <w:spacing w:line="240" w:lineRule="auto" w:after="0"/>
            </w:pPr>
            <w:r/>
            <w:r>
              <w:rPr>
                <w:rFonts w:ascii="Times New Roman" w:hAnsi="Times New Roman" w:cs="Times New Roman" w:eastAsia="Times New Roman"/>
                <w:b/>
                <w:sz w:val="20"/>
              </w:rPr>
              <w:t>User group</w:t>
            </w:r>
          </w:p>
        </w:tc>
        <w:tc>
          <w:tcPr>
            <w:tcW w:type="dxa" w:w="2665"/>
            <w:shd w:val="clear" w:color="auto" w:fill="D9D9D9"/>
            <w:tcW w:w="2664" w:type="dxa"/>
          </w:tcPr>
          <w:p>
            <w:pPr>
              <w:spacing w:line="240" w:lineRule="auto" w:after="0"/>
            </w:pPr>
            <w:r/>
            <w:r>
              <w:rPr>
                <w:rFonts w:ascii="Times New Roman" w:hAnsi="Times New Roman" w:cs="Times New Roman" w:eastAsia="Times New Roman"/>
                <w:b/>
                <w:sz w:val="20"/>
              </w:rPr>
              <w:t>Need</w:t>
            </w:r>
          </w:p>
        </w:tc>
        <w:tc>
          <w:tcPr>
            <w:tcW w:type="dxa" w:w="3515"/>
            <w:shd w:val="clear" w:color="auto" w:fill="D9D9D9"/>
            <w:tcW w:w="3515" w:type="dxa"/>
          </w:tcPr>
          <w:p>
            <w:pPr>
              <w:spacing w:line="240" w:lineRule="auto" w:after="0"/>
            </w:pPr>
            <w:r/>
            <w:r>
              <w:rPr>
                <w:rFonts w:ascii="Times New Roman" w:hAnsi="Times New Roman" w:cs="Times New Roman" w:eastAsia="Times New Roman"/>
                <w:b/>
                <w:sz w:val="20"/>
              </w:rPr>
              <w:t>What the component provides</w:t>
            </w:r>
          </w:p>
        </w:tc>
      </w:tr>
      <w:tr>
        <w:trPr>
          <w:cantSplit w:val="true"/>
        </w:trPr>
        <w:tc>
          <w:tcPr>
            <w:tcW w:type="dxa" w:w="2041"/>
            <w:tcW w:w="2041" w:type="dxa"/>
          </w:tcPr>
          <w:p>
            <w:pPr>
              <w:spacing w:line="240" w:lineRule="auto" w:after="0"/>
            </w:pPr>
            <w:r/>
            <w:r>
              <w:rPr>
                <w:rFonts w:ascii="Times New Roman" w:hAnsi="Times New Roman" w:cs="Times New Roman" w:eastAsia="Times New Roman"/>
                <w:sz w:val="20"/>
              </w:rPr>
              <w:t>Developers in small agencies and teams</w:t>
            </w:r>
          </w:p>
        </w:tc>
        <w:tc>
          <w:tcPr>
            <w:tcW w:type="dxa" w:w="2665"/>
            <w:tcW w:w="2664" w:type="dxa"/>
          </w:tcPr>
          <w:p>
            <w:pPr>
              <w:spacing w:line="240" w:lineRule="auto" w:after="0"/>
            </w:pPr>
            <w:r/>
            <w:r>
              <w:rPr>
                <w:rFonts w:ascii="Times New Roman" w:hAnsi="Times New Roman" w:cs="Times New Roman" w:eastAsia="Times New Roman"/>
                <w:sz w:val="20"/>
              </w:rPr>
              <w:t>Routine feature code without losing control of the repository</w:t>
            </w:r>
          </w:p>
        </w:tc>
        <w:tc>
          <w:tcPr>
            <w:tcW w:type="dxa" w:w="3515"/>
            <w:tcW w:w="3515" w:type="dxa"/>
          </w:tcPr>
          <w:p>
            <w:pPr>
              <w:spacing w:line="240" w:lineRule="auto" w:after="0"/>
            </w:pPr>
            <w:r/>
            <w:r>
              <w:rPr>
                <w:rFonts w:ascii="Times New Roman" w:hAnsi="Times New Roman" w:cs="Times New Roman" w:eastAsia="Times New Roman"/>
                <w:sz w:val="20"/>
              </w:rPr>
              <w:t>Code that follows the approved plan, on its own branch, verified before review</w:t>
            </w:r>
          </w:p>
        </w:tc>
      </w:tr>
      <w:tr>
        <w:trPr>
          <w:cantSplit w:val="true"/>
        </w:trPr>
        <w:tc>
          <w:tcPr>
            <w:tcW w:type="dxa" w:w="2041"/>
            <w:tcW w:w="2041" w:type="dxa"/>
          </w:tcPr>
          <w:p>
            <w:pPr>
              <w:spacing w:line="240" w:lineRule="auto" w:after="0"/>
            </w:pPr>
            <w:r/>
            <w:r>
              <w:rPr>
                <w:rFonts w:ascii="Times New Roman" w:hAnsi="Times New Roman" w:cs="Times New Roman" w:eastAsia="Times New Roman"/>
                <w:sz w:val="20"/>
              </w:rPr>
              <w:t>Technical leads and reviewers</w:t>
            </w:r>
          </w:p>
        </w:tc>
        <w:tc>
          <w:tcPr>
            <w:tcW w:type="dxa" w:w="2665"/>
            <w:tcW w:w="2664" w:type="dxa"/>
          </w:tcPr>
          <w:p>
            <w:pPr>
              <w:spacing w:line="240" w:lineRule="auto" w:after="0"/>
            </w:pPr>
            <w:r/>
            <w:r>
              <w:rPr>
                <w:rFonts w:ascii="Times New Roman" w:hAnsi="Times New Roman" w:cs="Times New Roman" w:eastAsia="Times New Roman"/>
                <w:sz w:val="20"/>
              </w:rPr>
              <w:t>Know what changed and whether it builds before approving</w:t>
            </w:r>
          </w:p>
        </w:tc>
        <w:tc>
          <w:tcPr>
            <w:tcW w:type="dxa" w:w="3515"/>
            <w:tcW w:w="3515" w:type="dxa"/>
          </w:tcPr>
          <w:p>
            <w:pPr>
              <w:spacing w:line="240" w:lineRule="auto" w:after="0"/>
            </w:pPr>
            <w:r/>
            <w:r>
              <w:rPr>
                <w:rFonts w:ascii="Times New Roman" w:hAnsi="Times New Roman" w:cs="Times New Roman" w:eastAsia="Times New Roman"/>
                <w:sz w:val="20"/>
              </w:rPr>
              <w:t>A merge report from the real git diff, verification results and a requirement-to-code map</w:t>
            </w:r>
          </w:p>
        </w:tc>
      </w:tr>
      <w:tr>
        <w:trPr>
          <w:cantSplit w:val="true"/>
        </w:trPr>
        <w:tc>
          <w:tcPr>
            <w:tcW w:type="dxa" w:w="2041"/>
            <w:tcW w:w="2041" w:type="dxa"/>
          </w:tcPr>
          <w:p>
            <w:pPr>
              <w:spacing w:line="240" w:lineRule="auto" w:after="0"/>
            </w:pPr>
            <w:r/>
            <w:r>
              <w:rPr>
                <w:rFonts w:ascii="Times New Roman" w:hAnsi="Times New Roman" w:cs="Times New Roman" w:eastAsia="Times New Roman"/>
                <w:sz w:val="20"/>
              </w:rPr>
              <w:t>Store owners (the clients)</w:t>
            </w:r>
          </w:p>
        </w:tc>
        <w:tc>
          <w:tcPr>
            <w:tcW w:type="dxa" w:w="2665"/>
            <w:tcW w:w="2664" w:type="dxa"/>
          </w:tcPr>
          <w:p>
            <w:pPr>
              <w:spacing w:line="240" w:lineRule="auto" w:after="0"/>
            </w:pPr>
            <w:r/>
            <w:r>
              <w:rPr>
                <w:rFonts w:ascii="Times New Roman" w:hAnsi="Times New Roman" w:cs="Times New Roman" w:eastAsia="Times New Roman"/>
                <w:sz w:val="20"/>
              </w:rPr>
              <w:t>Changes that do not break the live store</w:t>
            </w:r>
          </w:p>
        </w:tc>
        <w:tc>
          <w:tcPr>
            <w:tcW w:type="dxa" w:w="3515"/>
            <w:tcW w:w="3515" w:type="dxa"/>
          </w:tcPr>
          <w:p>
            <w:pPr>
              <w:spacing w:line="240" w:lineRule="auto" w:after="0"/>
            </w:pPr>
            <w:r/>
            <w:r>
              <w:rPr>
                <w:rFonts w:ascii="Times New Roman" w:hAnsi="Times New Roman" w:cs="Times New Roman" w:eastAsia="Times New Roman"/>
                <w:sz w:val="20"/>
              </w:rPr>
              <w:t>Nothing reaches the main branch without a verified build and a human approval; merges can be undone</w:t>
            </w:r>
          </w:p>
        </w:tc>
      </w:tr>
      <w:tr>
        <w:trPr>
          <w:cantSplit w:val="true"/>
        </w:trPr>
        <w:tc>
          <w:tcPr>
            <w:tcW w:type="dxa" w:w="2041"/>
            <w:tcW w:w="2041" w:type="dxa"/>
          </w:tcPr>
          <w:p>
            <w:pPr>
              <w:spacing w:line="240" w:lineRule="auto" w:after="0"/>
            </w:pPr>
            <w:r/>
            <w:r>
              <w:rPr>
                <w:rFonts w:ascii="Times New Roman" w:hAnsi="Times New Roman" w:cs="Times New Roman" w:eastAsia="Times New Roman"/>
                <w:sz w:val="20"/>
              </w:rPr>
              <w:t>Teams without powerful machines</w:t>
            </w:r>
          </w:p>
        </w:tc>
        <w:tc>
          <w:tcPr>
            <w:tcW w:type="dxa" w:w="2665"/>
            <w:tcW w:w="2664" w:type="dxa"/>
          </w:tcPr>
          <w:p>
            <w:pPr>
              <w:spacing w:line="240" w:lineRule="auto" w:after="0"/>
            </w:pPr>
            <w:r/>
            <w:r>
              <w:rPr>
                <w:rFonts w:ascii="Times New Roman" w:hAnsi="Times New Roman" w:cs="Times New Roman" w:eastAsia="Times New Roman"/>
                <w:sz w:val="20"/>
              </w:rPr>
              <w:t>Verification without a local Docker set-up</w:t>
            </w:r>
          </w:p>
        </w:tc>
        <w:tc>
          <w:tcPr>
            <w:tcW w:type="dxa" w:w="3515"/>
            <w:tcW w:w="3515" w:type="dxa"/>
          </w:tcPr>
          <w:p>
            <w:pPr>
              <w:spacing w:line="240" w:lineRule="auto" w:after="0"/>
            </w:pPr>
            <w:r/>
            <w:r>
              <w:rPr>
                <w:rFonts w:ascii="Times New Roman" w:hAnsi="Times New Roman" w:cs="Times New Roman" w:eastAsia="Times New Roman"/>
                <w:sz w:val="20"/>
              </w:rPr>
              <w:t>A hosted sandbox in the paid packages (Section 8.3)</w:t>
            </w:r>
          </w:p>
        </w:tc>
      </w:tr>
    </w:tbl>
    <w:p>
      <w:pPr>
        <w:spacing w:after="0"/>
      </w:pPr>
    </w:p>
    <w:p>
      <w:pPr>
        <w:jc w:val="both"/>
      </w:pPr>
      <w:r>
        <w:rPr>
          <w:rFonts w:ascii="Times New Roman" w:hAnsi="Times New Roman" w:cs="Times New Roman" w:eastAsia="Times New Roman"/>
        </w:rPr>
        <w:t>This evidence comes from our own study, and no developer outside the team has yet used the component (Section 6.3). The team is therefore surveying developers and agency staff, as described in Section 7.1 of the common report. For this component the key result is [insert: the percentage of respondents who would want to approve AI-written code before it is merged, and the hours a week they spend fixing AI-generated code].</w:t>
      </w:r>
    </w:p>
    <w:p>
      <w:pPr>
        <w:pStyle w:val="Heading2"/>
      </w:pPr>
      <w:r>
        <w:rPr>
          <w:rFonts w:ascii="Times New Roman" w:hAnsi="Times New Roman" w:cs="Times New Roman" w:eastAsia="Times New Roman"/>
        </w:rPr>
        <w:t>8.2 Market and competitive position</w:t>
      </w:r>
    </w:p>
    <w:p>
      <w:pPr>
        <w:jc w:val="both"/>
      </w:pPr>
      <w:r>
        <w:rPr>
          <w:rFonts w:ascii="Times New Roman" w:hAnsi="Times New Roman" w:cs="Times New Roman" w:eastAsia="Times New Roman"/>
        </w:rPr>
        <w:t>The first market is the one AutoForge targets: small e-commerce development teams and agencies, beginning in Sri Lanka, whose IT and business process management industry has more than 680 companies, over 700 active startups and about 175,000 professionals [19]. Many of these developers already pay for AI coding tools, which makes this the most crowded part of the market. Table 8.2 compares the component with the alternatives, using published prices in October 2026 converted at 330.43 rupees to the dollar [25].</w:t>
      </w:r>
    </w:p>
    <w:p>
      <w:pPr>
        <w:pStyle w:val="Caption"/>
        <w:keepNext/>
        <w:jc w:val="center"/>
      </w:pPr>
      <w:r>
        <w:rPr>
          <w:rFonts w:ascii="Times New Roman" w:hAnsi="Times New Roman" w:cs="Times New Roman" w:eastAsia="Times New Roman"/>
        </w:rPr>
        <w:t>Table 8.2: Alternatives for producing feature code</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055"/>
        <w:gridCol w:w="2055"/>
        <w:gridCol w:w="2055"/>
        <w:gridCol w:w="2055"/>
      </w:tblGrid>
      <w:tr>
        <w:trPr>
          <w:tblHeader w:val="true"/>
          <w:cantSplit w:val="true"/>
        </w:trPr>
        <w:tc>
          <w:tcPr>
            <w:tcW w:type="dxa" w:w="1871"/>
            <w:shd w:val="clear" w:color="auto" w:fill="D9D9D9"/>
            <w:tcW w:w="1871" w:type="dxa"/>
          </w:tcPr>
          <w:p>
            <w:pPr>
              <w:spacing w:line="240" w:lineRule="auto" w:after="0"/>
            </w:pPr>
            <w:r/>
            <w:r>
              <w:rPr>
                <w:rFonts w:ascii="Times New Roman" w:hAnsi="Times New Roman" w:cs="Times New Roman" w:eastAsia="Times New Roman"/>
                <w:b/>
                <w:sz w:val="20"/>
              </w:rPr>
              <w:t>Alternative</w:t>
            </w:r>
          </w:p>
        </w:tc>
        <w:tc>
          <w:tcPr>
            <w:tcW w:type="dxa" w:w="1757"/>
            <w:shd w:val="clear" w:color="auto" w:fill="D9D9D9"/>
            <w:tcW w:w="1757" w:type="dxa"/>
          </w:tcPr>
          <w:p>
            <w:pPr>
              <w:spacing w:line="240" w:lineRule="auto" w:after="0"/>
            </w:pPr>
            <w:r/>
            <w:r>
              <w:rPr>
                <w:rFonts w:ascii="Times New Roman" w:hAnsi="Times New Roman" w:cs="Times New Roman" w:eastAsia="Times New Roman"/>
                <w:b/>
                <w:sz w:val="20"/>
              </w:rPr>
              <w:t>Typical cost</w:t>
            </w:r>
          </w:p>
        </w:tc>
        <w:tc>
          <w:tcPr>
            <w:tcW w:type="dxa" w:w="1701"/>
            <w:shd w:val="clear" w:color="auto" w:fill="D9D9D9"/>
            <w:tcW w:w="1701" w:type="dxa"/>
          </w:tcPr>
          <w:p>
            <w:pPr>
              <w:spacing w:line="240" w:lineRule="auto" w:after="0"/>
            </w:pPr>
            <w:r/>
            <w:r>
              <w:rPr>
                <w:rFonts w:ascii="Times New Roman" w:hAnsi="Times New Roman" w:cs="Times New Roman" w:eastAsia="Times New Roman"/>
                <w:b/>
                <w:sz w:val="20"/>
              </w:rPr>
              <w:t>Strength</w:t>
            </w:r>
          </w:p>
        </w:tc>
        <w:tc>
          <w:tcPr>
            <w:tcW w:type="dxa" w:w="2891"/>
            <w:shd w:val="clear" w:color="auto" w:fill="D9D9D9"/>
            <w:tcW w:w="2891" w:type="dxa"/>
          </w:tcPr>
          <w:p>
            <w:pPr>
              <w:spacing w:line="240" w:lineRule="auto" w:after="0"/>
            </w:pPr>
            <w:r/>
            <w:r>
              <w:rPr>
                <w:rFonts w:ascii="Times New Roman" w:hAnsi="Times New Roman" w:cs="Times New Roman" w:eastAsia="Times New Roman"/>
                <w:b/>
                <w:sz w:val="20"/>
              </w:rPr>
              <w:t>Weakness compared with this component</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Writing code by hand</w:t>
            </w:r>
          </w:p>
        </w:tc>
        <w:tc>
          <w:tcPr>
            <w:tcW w:type="dxa" w:w="1757"/>
            <w:tcW w:w="1757" w:type="dxa"/>
          </w:tcPr>
          <w:p>
            <w:pPr>
              <w:spacing w:line="240" w:lineRule="auto" w:after="0"/>
            </w:pPr>
            <w:r/>
            <w:r>
              <w:rPr>
                <w:rFonts w:ascii="Times New Roman" w:hAnsi="Times New Roman" w:cs="Times New Roman" w:eastAsia="Times New Roman"/>
                <w:sz w:val="20"/>
              </w:rPr>
              <w:t>Developer time</w:t>
            </w:r>
          </w:p>
        </w:tc>
        <w:tc>
          <w:tcPr>
            <w:tcW w:type="dxa" w:w="1701"/>
            <w:tcW w:w="1701" w:type="dxa"/>
          </w:tcPr>
          <w:p>
            <w:pPr>
              <w:spacing w:line="240" w:lineRule="auto" w:after="0"/>
            </w:pPr>
            <w:r/>
            <w:r>
              <w:rPr>
                <w:rFonts w:ascii="Times New Roman" w:hAnsi="Times New Roman" w:cs="Times New Roman" w:eastAsia="Times New Roman"/>
                <w:sz w:val="20"/>
              </w:rPr>
              <w:t>Full control and judgement</w:t>
            </w:r>
          </w:p>
        </w:tc>
        <w:tc>
          <w:tcPr>
            <w:tcW w:type="dxa" w:w="2891"/>
            <w:tcW w:w="2891" w:type="dxa"/>
          </w:tcPr>
          <w:p>
            <w:pPr>
              <w:spacing w:line="240" w:lineRule="auto" w:after="0"/>
            </w:pPr>
            <w:r/>
            <w:r>
              <w:rPr>
                <w:rFonts w:ascii="Times New Roman" w:hAnsi="Times New Roman" w:cs="Times New Roman" w:eastAsia="Times New Roman"/>
                <w:sz w:val="20"/>
              </w:rPr>
              <w:t>Slow for routine features</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AI assistant in the editor (GitHub Copilot, Cursor)</w:t>
            </w:r>
          </w:p>
        </w:tc>
        <w:tc>
          <w:tcPr>
            <w:tcW w:type="dxa" w:w="1757"/>
            <w:tcW w:w="1757" w:type="dxa"/>
          </w:tcPr>
          <w:p>
            <w:pPr>
              <w:spacing w:line="240" w:lineRule="auto" w:after="0"/>
            </w:pPr>
            <w:r/>
            <w:r>
              <w:rPr>
                <w:rFonts w:ascii="Times New Roman" w:hAnsi="Times New Roman" w:cs="Times New Roman" w:eastAsia="Times New Roman"/>
                <w:sz w:val="20"/>
              </w:rPr>
              <w:t>USD 10 to 40 (about LKR 3,300 to 13,200) per user per month [21], [22]</w:t>
            </w:r>
          </w:p>
        </w:tc>
        <w:tc>
          <w:tcPr>
            <w:tcW w:type="dxa" w:w="1701"/>
            <w:tcW w:w="1701" w:type="dxa"/>
          </w:tcPr>
          <w:p>
            <w:pPr>
              <w:spacing w:line="240" w:lineRule="auto" w:after="0"/>
            </w:pPr>
            <w:r/>
            <w:r>
              <w:rPr>
                <w:rFonts w:ascii="Times New Roman" w:hAnsi="Times New Roman" w:cs="Times New Roman" w:eastAsia="Times New Roman"/>
                <w:sz w:val="20"/>
              </w:rPr>
              <w:t>Fast; works in the developer's own flow</w:t>
            </w:r>
          </w:p>
        </w:tc>
        <w:tc>
          <w:tcPr>
            <w:tcW w:type="dxa" w:w="2891"/>
            <w:tcW w:w="2891" w:type="dxa"/>
          </w:tcPr>
          <w:p>
            <w:pPr>
              <w:spacing w:line="240" w:lineRule="auto" w:after="0"/>
            </w:pPr>
            <w:r/>
            <w:r>
              <w:rPr>
                <w:rFonts w:ascii="Times New Roman" w:hAnsi="Times New Roman" w:cs="Times New Roman" w:eastAsia="Times New Roman"/>
                <w:sz w:val="20"/>
              </w:rPr>
              <w:t>The developer must build, test and track changes; no link to an approved design</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Prompt-to-app builders (Lovable, Bolt)</w:t>
            </w:r>
          </w:p>
        </w:tc>
        <w:tc>
          <w:tcPr>
            <w:tcW w:type="dxa" w:w="1757"/>
            <w:tcW w:w="1757" w:type="dxa"/>
          </w:tcPr>
          <w:p>
            <w:pPr>
              <w:spacing w:line="240" w:lineRule="auto" w:after="0"/>
            </w:pPr>
            <w:r/>
            <w:r>
              <w:rPr>
                <w:rFonts w:ascii="Times New Roman" w:hAnsi="Times New Roman" w:cs="Times New Roman" w:eastAsia="Times New Roman"/>
                <w:sz w:val="20"/>
              </w:rPr>
              <w:t>USD 25 to 50 per user per month [23], [24]</w:t>
            </w:r>
          </w:p>
        </w:tc>
        <w:tc>
          <w:tcPr>
            <w:tcW w:type="dxa" w:w="1701"/>
            <w:tcW w:w="1701" w:type="dxa"/>
          </w:tcPr>
          <w:p>
            <w:pPr>
              <w:spacing w:line="240" w:lineRule="auto" w:after="0"/>
            </w:pPr>
            <w:r/>
            <w:r>
              <w:rPr>
                <w:rFonts w:ascii="Times New Roman" w:hAnsi="Times New Roman" w:cs="Times New Roman" w:eastAsia="Times New Roman"/>
                <w:sz w:val="20"/>
              </w:rPr>
              <w:t>Very fast first version</w:t>
            </w:r>
          </w:p>
        </w:tc>
        <w:tc>
          <w:tcPr>
            <w:tcW w:type="dxa" w:w="2891"/>
            <w:tcW w:w="2891" w:type="dxa"/>
          </w:tcPr>
          <w:p>
            <w:pPr>
              <w:spacing w:line="240" w:lineRule="auto" w:after="0"/>
            </w:pPr>
            <w:r/>
            <w:r>
              <w:rPr>
                <w:rFonts w:ascii="Times New Roman" w:hAnsi="Times New Roman" w:cs="Times New Roman" w:eastAsia="Times New Roman"/>
                <w:sz w:val="20"/>
              </w:rPr>
              <w:t>Little control over structure; hard to review or undo a change</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Issue-resolution agents such as SWE-agent [3] and OpenHands [4]</w:t>
            </w:r>
          </w:p>
        </w:tc>
        <w:tc>
          <w:tcPr>
            <w:tcW w:type="dxa" w:w="1757"/>
            <w:tcW w:w="1757" w:type="dxa"/>
          </w:tcPr>
          <w:p>
            <w:pPr>
              <w:spacing w:line="240" w:lineRule="auto" w:after="0"/>
            </w:pPr>
            <w:r/>
            <w:r>
              <w:rPr>
                <w:rFonts w:ascii="Times New Roman" w:hAnsi="Times New Roman" w:cs="Times New Roman" w:eastAsia="Times New Roman"/>
                <w:sz w:val="20"/>
              </w:rPr>
              <w:t>Free (open source) plus model fees</w:t>
            </w:r>
          </w:p>
        </w:tc>
        <w:tc>
          <w:tcPr>
            <w:tcW w:type="dxa" w:w="1701"/>
            <w:tcW w:w="1701" w:type="dxa"/>
          </w:tcPr>
          <w:p>
            <w:pPr>
              <w:spacing w:line="240" w:lineRule="auto" w:after="0"/>
            </w:pPr>
            <w:r/>
            <w:r>
              <w:rPr>
                <w:rFonts w:ascii="Times New Roman" w:hAnsi="Times New Roman" w:cs="Times New Roman" w:eastAsia="Times New Roman"/>
                <w:sz w:val="20"/>
              </w:rPr>
              <w:t>Strong on existing repositories</w:t>
            </w:r>
          </w:p>
        </w:tc>
        <w:tc>
          <w:tcPr>
            <w:tcW w:type="dxa" w:w="2891"/>
            <w:tcW w:w="2891" w:type="dxa"/>
          </w:tcPr>
          <w:p>
            <w:pPr>
              <w:spacing w:line="240" w:lineRule="auto" w:after="0"/>
            </w:pPr>
            <w:r/>
            <w:r>
              <w:rPr>
                <w:rFonts w:ascii="Times New Roman" w:hAnsi="Times New Roman" w:cs="Times New Roman" w:eastAsia="Times New Roman"/>
                <w:sz w:val="20"/>
              </w:rPr>
              <w:t>Start from an issue, not a reviewed design; no approval gate before merge</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This component (within AutoForge)</w:t>
            </w:r>
          </w:p>
        </w:tc>
        <w:tc>
          <w:tcPr>
            <w:tcW w:type="dxa" w:w="1757"/>
            <w:tcW w:w="1757" w:type="dxa"/>
          </w:tcPr>
          <w:p>
            <w:pPr>
              <w:spacing w:line="240" w:lineRule="auto" w:after="0"/>
            </w:pPr>
            <w:r/>
            <w:r>
              <w:rPr>
                <w:rFonts w:ascii="Times New Roman" w:hAnsi="Times New Roman" w:cs="Times New Roman" w:eastAsia="Times New Roman"/>
                <w:sz w:val="20"/>
              </w:rPr>
              <w:t>Included from the free Community edition</w:t>
            </w:r>
          </w:p>
        </w:tc>
        <w:tc>
          <w:tcPr>
            <w:tcW w:type="dxa" w:w="1701"/>
            <w:tcW w:w="1701" w:type="dxa"/>
          </w:tcPr>
          <w:p>
            <w:pPr>
              <w:spacing w:line="240" w:lineRule="auto" w:after="0"/>
            </w:pPr>
            <w:r/>
            <w:r>
              <w:rPr>
                <w:rFonts w:ascii="Times New Roman" w:hAnsi="Times New Roman" w:cs="Times New Roman" w:eastAsia="Times New Roman"/>
                <w:sz w:val="20"/>
              </w:rPr>
              <w:t>Plan checked against the design; sandbox-verified; git-isolated; merged only on approval</w:t>
            </w:r>
          </w:p>
        </w:tc>
        <w:tc>
          <w:tcPr>
            <w:tcW w:type="dxa" w:w="2891"/>
            <w:tcW w:w="2891" w:type="dxa"/>
          </w:tcPr>
          <w:p>
            <w:pPr>
              <w:spacing w:line="240" w:lineRule="auto" w:after="0"/>
            </w:pPr>
            <w:r/>
            <w:r>
              <w:rPr>
                <w:rFonts w:ascii="Times New Roman" w:hAnsi="Times New Roman" w:cs="Times New Roman" w:eastAsia="Times New Roman"/>
                <w:sz w:val="20"/>
              </w:rPr>
              <w:t>Slower; verification cannot confirm that the specification is met</w:t>
            </w:r>
          </w:p>
        </w:tc>
      </w:tr>
    </w:tbl>
    <w:p>
      <w:pPr>
        <w:spacing w:after="0"/>
      </w:pPr>
    </w:p>
    <w:p>
      <w:pPr>
        <w:jc w:val="both"/>
      </w:pPr>
      <w:r>
        <w:rPr>
          <w:rFonts w:ascii="Times New Roman" w:hAnsi="Times New Roman" w:cs="Times New Roman" w:eastAsia="Times New Roman"/>
        </w:rPr>
        <w:t>The component does not try to beat editor assistants at speed. Its position is different: it is the coding step of a pipeline that starts from an approved specification and design, and it hands the reviewer evidence rather than a suggestion. Editor assistants help a developer type; this component lets a lead decide whether a whole feature should enter the repository. The two can also work together, since a developer can still edit the branch with any tool before approving it.</w:t>
      </w:r>
    </w:p>
    <w:p>
      <w:pPr>
        <w:pStyle w:val="Heading2"/>
      </w:pPr>
      <w:r>
        <w:rPr>
          <w:rFonts w:ascii="Times New Roman" w:hAnsi="Times New Roman" w:cs="Times New Roman" w:eastAsia="Times New Roman"/>
        </w:rPr>
        <w:t>8.3 Business or sustainability model</w:t>
      </w:r>
    </w:p>
    <w:p>
      <w:pPr>
        <w:jc w:val="both"/>
      </w:pPr>
      <w:r>
        <w:rPr>
          <w:rFonts w:ascii="Times New Roman" w:hAnsi="Times New Roman" w:cs="Times New Roman" w:eastAsia="Times New Roman"/>
        </w:rPr>
        <w:t>The component fits within the open-core model and the packages proposed in the common report (Table 7.5): a free self-hosted Community edition, Team seats at LKR 6,000 per month, Agency seats at LKR 10,000 per month, and enterprise and academic licences. In the Community edition, the component runs with a local model and Docker on the developer's own machine, so it costs the team nothing to serve. Table 8.3 shows the paid elements that depend directly on my work.</w:t>
      </w:r>
    </w:p>
    <w:p>
      <w:pPr>
        <w:pStyle w:val="Caption"/>
        <w:keepNext/>
        <w:jc w:val="center"/>
      </w:pPr>
      <w:r>
        <w:rPr>
          <w:rFonts w:ascii="Times New Roman" w:hAnsi="Times New Roman" w:cs="Times New Roman" w:eastAsia="Times New Roman"/>
        </w:rPr>
        <w:t>Table 8.3: Revenue elements that depend on this component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2154"/>
            <w:shd w:val="clear" w:color="auto" w:fill="D9D9D9"/>
            <w:tcW w:w="2154" w:type="dxa"/>
          </w:tcPr>
          <w:p>
            <w:pPr>
              <w:spacing w:line="240" w:lineRule="auto" w:after="0"/>
            </w:pPr>
            <w:r/>
            <w:r>
              <w:rPr>
                <w:rFonts w:ascii="Times New Roman" w:hAnsi="Times New Roman" w:cs="Times New Roman" w:eastAsia="Times New Roman"/>
                <w:b/>
                <w:sz w:val="20"/>
              </w:rPr>
              <w:t>Revenue element</w:t>
            </w:r>
          </w:p>
        </w:tc>
        <w:tc>
          <w:tcPr>
            <w:tcW w:type="dxa" w:w="2098"/>
            <w:shd w:val="clear" w:color="auto" w:fill="D9D9D9"/>
            <w:tcW w:w="2097" w:type="dxa"/>
          </w:tcPr>
          <w:p>
            <w:pPr>
              <w:spacing w:line="240" w:lineRule="auto" w:after="0"/>
            </w:pPr>
            <w:r/>
            <w:r>
              <w:rPr>
                <w:rFonts w:ascii="Times New Roman" w:hAnsi="Times New Roman" w:cs="Times New Roman" w:eastAsia="Times New Roman"/>
                <w:b/>
                <w:sz w:val="20"/>
              </w:rPr>
              <w:t>Price (common report)</w:t>
            </w:r>
          </w:p>
        </w:tc>
        <w:tc>
          <w:tcPr>
            <w:tcW w:type="dxa" w:w="3969"/>
            <w:shd w:val="clear" w:color="auto" w:fill="D9D9D9"/>
            <w:tcW w:w="3969" w:type="dxa"/>
          </w:tcPr>
          <w:p>
            <w:pPr>
              <w:spacing w:line="240" w:lineRule="auto" w:after="0"/>
            </w:pPr>
            <w:r/>
            <w:r>
              <w:rPr>
                <w:rFonts w:ascii="Times New Roman" w:hAnsi="Times New Roman" w:cs="Times New Roman" w:eastAsia="Times New Roman"/>
                <w:b/>
                <w:sz w:val="20"/>
              </w:rPr>
              <w:t>What this component contributes</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Hosted sandbox verification</w:t>
            </w:r>
          </w:p>
        </w:tc>
        <w:tc>
          <w:tcPr>
            <w:tcW w:type="dxa" w:w="2098"/>
            <w:tcW w:w="2097" w:type="dxa"/>
          </w:tcPr>
          <w:p>
            <w:pPr>
              <w:spacing w:line="240" w:lineRule="auto" w:after="0"/>
            </w:pPr>
            <w:r/>
            <w:r>
              <w:rPr>
                <w:rFonts w:ascii="Times New Roman" w:hAnsi="Times New Roman" w:cs="Times New Roman" w:eastAsia="Times New Roman"/>
                <w:sz w:val="20"/>
              </w:rPr>
              <w:t>Part of every hosted feature run in the Team and Agency packages; extra runs LKR 400 each</w:t>
            </w:r>
          </w:p>
        </w:tc>
        <w:tc>
          <w:tcPr>
            <w:tcW w:type="dxa" w:w="3969"/>
            <w:tcW w:w="3969" w:type="dxa"/>
          </w:tcPr>
          <w:p>
            <w:pPr>
              <w:spacing w:line="240" w:lineRule="auto" w:after="0"/>
            </w:pPr>
            <w:r/>
            <w:r>
              <w:rPr>
                <w:rFonts w:ascii="Times New Roman" w:hAnsi="Times New Roman" w:cs="Times New Roman" w:eastAsia="Times New Roman"/>
                <w:sz w:val="20"/>
              </w:rPr>
              <w:t>The ten verification gates run in a hosted container, so teams need no local Docker or powerful machine</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Git hosting integration</w:t>
            </w:r>
          </w:p>
        </w:tc>
        <w:tc>
          <w:tcPr>
            <w:tcW w:type="dxa" w:w="2098"/>
            <w:tcW w:w="2097" w:type="dxa"/>
          </w:tcPr>
          <w:p>
            <w:pPr>
              <w:spacing w:line="240" w:lineRule="auto" w:after="0"/>
            </w:pPr>
            <w:r/>
            <w:r>
              <w:rPr>
                <w:rFonts w:ascii="Times New Roman" w:hAnsi="Times New Roman" w:cs="Times New Roman" w:eastAsia="Times New Roman"/>
                <w:sz w:val="20"/>
              </w:rPr>
              <w:t>Team and Agency packages</w:t>
            </w:r>
          </w:p>
        </w:tc>
        <w:tc>
          <w:tcPr>
            <w:tcW w:type="dxa" w:w="3969"/>
            <w:tcW w:w="3969" w:type="dxa"/>
          </w:tcPr>
          <w:p>
            <w:pPr>
              <w:spacing w:line="240" w:lineRule="auto" w:after="0"/>
            </w:pPr>
            <w:r/>
            <w:r>
              <w:rPr>
                <w:rFonts w:ascii="Times New Roman" w:hAnsi="Times New Roman" w:cs="Times New Roman" w:eastAsia="Times New Roman"/>
                <w:sz w:val="20"/>
              </w:rPr>
              <w:t>An approved branch becomes a pull request in the team's own repository instead of a local merge</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Enterprise / on-premise licence</w:t>
            </w:r>
          </w:p>
        </w:tc>
        <w:tc>
          <w:tcPr>
            <w:tcW w:type="dxa" w:w="2098"/>
            <w:tcW w:w="2097" w:type="dxa"/>
          </w:tcPr>
          <w:p>
            <w:pPr>
              <w:spacing w:line="240" w:lineRule="auto" w:after="0"/>
            </w:pPr>
            <w:r/>
            <w:r>
              <w:rPr>
                <w:rFonts w:ascii="Times New Roman" w:hAnsi="Times New Roman" w:cs="Times New Roman" w:eastAsia="Times New Roman"/>
                <w:sz w:val="20"/>
              </w:rPr>
              <w:t>From LKR 1,500,000 per year</w:t>
            </w:r>
          </w:p>
        </w:tc>
        <w:tc>
          <w:tcPr>
            <w:tcW w:type="dxa" w:w="3969"/>
            <w:tcW w:w="3969" w:type="dxa"/>
          </w:tcPr>
          <w:p>
            <w:pPr>
              <w:spacing w:line="240" w:lineRule="auto" w:after="0"/>
            </w:pPr>
            <w:r/>
            <w:r>
              <w:rPr>
                <w:rFonts w:ascii="Times New Roman" w:hAnsi="Times New Roman" w:cs="Times New Roman" w:eastAsia="Times New Roman"/>
                <w:sz w:val="20"/>
              </w:rPr>
              <w:t>Code, branches and builds stay entirely inside the customer's network</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Setup services</w:t>
            </w:r>
          </w:p>
        </w:tc>
        <w:tc>
          <w:tcPr>
            <w:tcW w:type="dxa" w:w="2098"/>
            <w:tcW w:w="2097" w:type="dxa"/>
          </w:tcPr>
          <w:p>
            <w:pPr>
              <w:spacing w:line="240" w:lineRule="auto" w:after="0"/>
            </w:pPr>
            <w:r/>
            <w:r>
              <w:rPr>
                <w:rFonts w:ascii="Times New Roman" w:hAnsi="Times New Roman" w:cs="Times New Roman" w:eastAsia="Times New Roman"/>
                <w:sz w:val="20"/>
              </w:rPr>
              <w:t>LKR 75,000 per engagement</w:t>
            </w:r>
          </w:p>
        </w:tc>
        <w:tc>
          <w:tcPr>
            <w:tcW w:type="dxa" w:w="3969"/>
            <w:tcW w:w="3969" w:type="dxa"/>
          </w:tcPr>
          <w:p>
            <w:pPr>
              <w:spacing w:line="240" w:lineRule="auto" w:after="0"/>
            </w:pPr>
            <w:r/>
            <w:r>
              <w:rPr>
                <w:rFonts w:ascii="Times New Roman" w:hAnsi="Times New Roman" w:cs="Times New Roman" w:eastAsia="Times New Roman"/>
                <w:sz w:val="20"/>
              </w:rPr>
              <w:t>Adapting the scaffold and checks to a customer's existing repository conventions</w:t>
            </w:r>
          </w:p>
        </w:tc>
      </w:tr>
    </w:tbl>
    <w:p>
      <w:pPr>
        <w:spacing w:after="0"/>
      </w:pPr>
    </w:p>
    <w:p>
      <w:pPr>
        <w:jc w:val="both"/>
      </w:pPr>
      <w:r>
        <w:rPr>
          <w:rFonts w:ascii="Times New Roman" w:hAnsi="Times New Roman" w:cs="Times New Roman" w:eastAsia="Times New Roman"/>
        </w:rPr>
        <w:t>The main cost of this component is verification time, not model tokens. The retail store's git history shows that each attempt, with its package install and production build, took about 50 minutes on the development machine (Section 6.4), and a feature may need up to three attempts. In a hosted service this sandbox time is the largest part of the variable cost that the common report allows for each seat. Caching installed packages between attempts, and building only when files have changed, would cut it substantially, and is a precondition for a hosted product at the proposed prices. Model costs are small by comparison: a whole feature run costs nothing in API fees with the local model, and at most about LKR 160 on a hosted model.</w:t>
      </w:r>
    </w:p>
    <w:p>
      <w:pPr>
        <w:jc w:val="both"/>
      </w:pPr>
      <w:r>
        <w:rPr>
          <w:rFonts w:ascii="Times New Roman" w:hAnsi="Times New Roman" w:cs="Times New Roman" w:eastAsia="Times New Roman"/>
        </w:rPr>
        <w:t>Technically, the component is already feasible. It ran in every feature of the team's evaluation, and the git isolation, verification and merge-on-approval behaviour is covered by automated tests. The results in Chapter 6 also show what must change before it can be sold, listed in Table 8.4.</w:t>
      </w:r>
    </w:p>
    <w:p>
      <w:pPr>
        <w:pStyle w:val="Caption"/>
        <w:keepNext/>
        <w:jc w:val="center"/>
      </w:pPr>
      <w:r>
        <w:rPr>
          <w:rFonts w:ascii="Times New Roman" w:hAnsi="Times New Roman" w:cs="Times New Roman" w:eastAsia="Times New Roman"/>
        </w:rPr>
        <w:t>Table 8.4: Work needed before a commercial release</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2381"/>
            <w:shd w:val="clear" w:color="auto" w:fill="D9D9D9"/>
            <w:tcW w:w="2381" w:type="dxa"/>
          </w:tcPr>
          <w:p>
            <w:pPr>
              <w:spacing w:line="240" w:lineRule="auto" w:after="0"/>
            </w:pPr>
            <w:r/>
            <w:r>
              <w:rPr>
                <w:rFonts w:ascii="Times New Roman" w:hAnsi="Times New Roman" w:cs="Times New Roman" w:eastAsia="Times New Roman"/>
                <w:b/>
                <w:sz w:val="20"/>
              </w:rPr>
              <w:t>Issue found</w:t>
            </w:r>
          </w:p>
        </w:tc>
        <w:tc>
          <w:tcPr>
            <w:tcW w:type="dxa" w:w="2041"/>
            <w:shd w:val="clear" w:color="auto" w:fill="D9D9D9"/>
            <w:tcW w:w="2041" w:type="dxa"/>
          </w:tcPr>
          <w:p>
            <w:pPr>
              <w:spacing w:line="240" w:lineRule="auto" w:after="0"/>
            </w:pPr>
            <w:r/>
            <w:r>
              <w:rPr>
                <w:rFonts w:ascii="Times New Roman" w:hAnsi="Times New Roman" w:cs="Times New Roman" w:eastAsia="Times New Roman"/>
                <w:b/>
                <w:sz w:val="20"/>
              </w:rPr>
              <w:t>Evidence</w:t>
            </w:r>
          </w:p>
        </w:tc>
        <w:tc>
          <w:tcPr>
            <w:tcW w:type="dxa" w:w="3798"/>
            <w:shd w:val="clear" w:color="auto" w:fill="D9D9D9"/>
            <w:tcW w:w="3798" w:type="dxa"/>
          </w:tcPr>
          <w:p>
            <w:pPr>
              <w:spacing w:line="240" w:lineRule="auto" w:after="0"/>
            </w:pPr>
            <w:r/>
            <w:r>
              <w:rPr>
                <w:rFonts w:ascii="Times New Roman" w:hAnsi="Times New Roman" w:cs="Times New Roman" w:eastAsia="Times New Roman"/>
                <w:b/>
                <w:sz w:val="20"/>
              </w:rPr>
              <w:t>Change needed</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Each attempt took about 50 minutes, mostly install and build</w:t>
            </w:r>
          </w:p>
        </w:tc>
        <w:tc>
          <w:tcPr>
            <w:tcW w:type="dxa" w:w="2041"/>
            <w:tcW w:w="2041" w:type="dxa"/>
          </w:tcPr>
          <w:p>
            <w:pPr>
              <w:spacing w:line="240" w:lineRule="auto" w:after="0"/>
            </w:pPr>
            <w:r/>
            <w:r>
              <w:rPr>
                <w:rFonts w:ascii="Times New Roman" w:hAnsi="Times New Roman" w:cs="Times New Roman" w:eastAsia="Times New Roman"/>
                <w:sz w:val="20"/>
              </w:rPr>
              <w:t>Section 6.4</w:t>
            </w:r>
          </w:p>
        </w:tc>
        <w:tc>
          <w:tcPr>
            <w:tcW w:type="dxa" w:w="3798"/>
            <w:tcW w:w="3798" w:type="dxa"/>
          </w:tcPr>
          <w:p>
            <w:pPr>
              <w:spacing w:line="240" w:lineRule="auto" w:after="0"/>
            </w:pPr>
            <w:r/>
            <w:r>
              <w:rPr>
                <w:rFonts w:ascii="Times New Roman" w:hAnsi="Times New Roman" w:cs="Times New Roman" w:eastAsia="Times New Roman"/>
                <w:sz w:val="20"/>
              </w:rPr>
              <w:t>Cache packages between attempts; rebuild only when files change</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Only three of nine stored versions passed verification</w:t>
            </w:r>
          </w:p>
        </w:tc>
        <w:tc>
          <w:tcPr>
            <w:tcW w:type="dxa" w:w="2041"/>
            <w:tcW w:w="2041" w:type="dxa"/>
          </w:tcPr>
          <w:p>
            <w:pPr>
              <w:spacing w:line="240" w:lineRule="auto" w:after="0"/>
            </w:pPr>
            <w:r/>
            <w:r>
              <w:rPr>
                <w:rFonts w:ascii="Times New Roman" w:hAnsi="Times New Roman" w:cs="Times New Roman" w:eastAsia="Times New Roman"/>
                <w:sz w:val="20"/>
              </w:rPr>
              <w:t>Table 6.2</w:t>
            </w:r>
          </w:p>
        </w:tc>
        <w:tc>
          <w:tcPr>
            <w:tcW w:type="dxa" w:w="3798"/>
            <w:tcW w:w="3798" w:type="dxa"/>
          </w:tcPr>
          <w:p>
            <w:pPr>
              <w:spacing w:line="240" w:lineRule="auto" w:after="0"/>
            </w:pPr>
            <w:r/>
            <w:r>
              <w:rPr>
                <w:rFonts w:ascii="Times New Roman" w:hAnsi="Times New Roman" w:cs="Times New Roman" w:eastAsia="Times New Roman"/>
                <w:sz w:val="20"/>
              </w:rPr>
              <w:t>Better use of failure feedback; report clearly when a run needs a human revision</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A requirement-to-code map can claim requirements that are not implemented</w:t>
            </w:r>
          </w:p>
        </w:tc>
        <w:tc>
          <w:tcPr>
            <w:tcW w:type="dxa" w:w="2041"/>
            <w:tcW w:w="2041" w:type="dxa"/>
          </w:tcPr>
          <w:p>
            <w:pPr>
              <w:spacing w:line="240" w:lineRule="auto" w:after="0"/>
            </w:pPr>
            <w:r/>
            <w:r>
              <w:rPr>
                <w:rFonts w:ascii="Times New Roman" w:hAnsi="Times New Roman" w:cs="Times New Roman" w:eastAsia="Times New Roman"/>
                <w:sz w:val="20"/>
              </w:rPr>
              <w:t>Section 6.2.1</w:t>
            </w:r>
          </w:p>
        </w:tc>
        <w:tc>
          <w:tcPr>
            <w:tcW w:type="dxa" w:w="3798"/>
            <w:tcW w:w="3798" w:type="dxa"/>
          </w:tcPr>
          <w:p>
            <w:pPr>
              <w:spacing w:line="240" w:lineRule="auto" w:after="0"/>
            </w:pPr>
            <w:r/>
            <w:r>
              <w:rPr>
                <w:rFonts w:ascii="Times New Roman" w:hAnsi="Times New Roman" w:cs="Times New Roman" w:eastAsia="Times New Roman"/>
                <w:sz w:val="20"/>
              </w:rPr>
              <w:t>Check each claimed file for evidence of the requirement, or label the map as the plan's claim</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Manual edits on the branch were merged without re-verification</w:t>
            </w:r>
          </w:p>
        </w:tc>
        <w:tc>
          <w:tcPr>
            <w:tcW w:type="dxa" w:w="2041"/>
            <w:tcW w:w="2041" w:type="dxa"/>
          </w:tcPr>
          <w:p>
            <w:pPr>
              <w:spacing w:line="240" w:lineRule="auto" w:after="0"/>
            </w:pPr>
            <w:r/>
            <w:r>
              <w:rPr>
                <w:rFonts w:ascii="Times New Roman" w:hAnsi="Times New Roman" w:cs="Times New Roman" w:eastAsia="Times New Roman"/>
                <w:sz w:val="20"/>
              </w:rPr>
              <w:t>Section 6.2.4</w:t>
            </w:r>
          </w:p>
        </w:tc>
        <w:tc>
          <w:tcPr>
            <w:tcW w:type="dxa" w:w="3798"/>
            <w:tcW w:w="3798" w:type="dxa"/>
          </w:tcPr>
          <w:p>
            <w:pPr>
              <w:spacing w:line="240" w:lineRule="auto" w:after="0"/>
            </w:pPr>
            <w:r/>
            <w:r>
              <w:rPr>
                <w:rFonts w:ascii="Times New Roman" w:hAnsi="Times New Roman" w:cs="Times New Roman" w:eastAsia="Times New Roman"/>
                <w:sz w:val="20"/>
              </w:rPr>
              <w:t>Re-run verification automatically on any new commit before a merge</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Verification cannot check that the code meets the specification</w:t>
            </w:r>
          </w:p>
        </w:tc>
        <w:tc>
          <w:tcPr>
            <w:tcW w:type="dxa" w:w="2041"/>
            <w:tcW w:w="2041" w:type="dxa"/>
          </w:tcPr>
          <w:p>
            <w:pPr>
              <w:spacing w:line="240" w:lineRule="auto" w:after="0"/>
            </w:pPr>
            <w:r/>
            <w:r>
              <w:rPr>
                <w:rFonts w:ascii="Times New Roman" w:hAnsi="Times New Roman" w:cs="Times New Roman" w:eastAsia="Times New Roman"/>
                <w:sz w:val="20"/>
              </w:rPr>
              <w:t>Table 6.3</w:t>
            </w:r>
          </w:p>
        </w:tc>
        <w:tc>
          <w:tcPr>
            <w:tcW w:type="dxa" w:w="3798"/>
            <w:tcW w:w="3798" w:type="dxa"/>
          </w:tcPr>
          <w:p>
            <w:pPr>
              <w:spacing w:line="240" w:lineRule="auto" w:after="0"/>
            </w:pPr>
            <w:r/>
            <w:r>
              <w:rPr>
                <w:rFonts w:ascii="Times New Roman" w:hAnsi="Times New Roman" w:cs="Times New Roman" w:eastAsia="Times New Roman"/>
                <w:sz w:val="20"/>
              </w:rPr>
              <w:t>Present verification as build evidence only; rely on QA tests and the reviewer for behaviour</w:t>
            </w:r>
          </w:p>
        </w:tc>
      </w:tr>
    </w:tbl>
    <w:p>
      <w:pPr>
        <w:spacing w:after="0"/>
      </w:pPr>
    </w:p>
    <w:p>
      <w:pPr>
        <w:pStyle w:val="Heading2"/>
      </w:pPr>
      <w:r>
        <w:rPr>
          <w:rFonts w:ascii="Times New Roman" w:hAnsi="Times New Roman" w:cs="Times New Roman" w:eastAsia="Times New Roman"/>
        </w:rPr>
        <w:t>8.4 Scalability intellectual property and compliance</w:t>
      </w:r>
    </w:p>
    <w:p>
      <w:pPr>
        <w:jc w:val="both"/>
      </w:pPr>
      <w:r>
        <w:rPr>
          <w:rFonts w:ascii="Times New Roman" w:hAnsi="Times New Roman" w:cs="Times New Roman" w:eastAsia="Times New Roman"/>
        </w:rPr>
        <w:t>Scalability. Each feature already runs in its own workspace, on its own branch and in its own sandbox, which is the right shape for a multi-user service: runs from different customers never share files. To serve many teams, the hosted service would need a job queue, a pool of sandbox containers sized to the number of runs, and the package cache described above, so that cost grows with the number of feature runs rather than with the number of customers. The stack is fixed to Next.js, TypeScript and MongoDB. Supporting a second stack would need a second scaffold and a second set of checks; the workspace service's existing support for an older stack shows that this is feasible, but not free.</w:t>
      </w:r>
    </w:p>
    <w:p>
      <w:pPr>
        <w:jc w:val="both"/>
      </w:pPr>
      <w:r>
        <w:rPr>
          <w:rFonts w:ascii="Times New Roman" w:hAnsi="Times New Roman" w:cs="Times New Roman" w:eastAsia="Times New Roman"/>
        </w:rPr>
        <w:t>Intellectual property. The code generated for a customer belongs to that customer, and the terms of use must say so. Two further points need care before a commercial release. First, the generated applications install third-party npm packages, and the customer inherits their licences, so the merge report should list new dependencies and their licences for the reviewer. Second, a model can occasionally reproduce code it has seen during training, which is one more reason to keep a person responsible for every merge. The scaffold, checks and agent code remain the team's property, subject to the university's intellectual property policy and to the licences of Docker, Node.js and the Next.js toolchain.</w:t>
      </w:r>
    </w:p>
    <w:p>
      <w:pPr>
        <w:jc w:val="both"/>
      </w:pPr>
      <w:r>
        <w:rPr>
          <w:rFonts w:ascii="Times New Roman" w:hAnsi="Times New Roman" w:cs="Times New Roman" w:eastAsia="Times New Roman"/>
        </w:rPr>
        <w:t>Compliance. Sri Lanka's Personal Data Protection Act, No. 9 of 2022, takes effect on 1 January 2027 [20]. The code this component writes is the code that stores customers' accounts, addresses and orders, so it carries much of a store's compliance risk. Two design choices already help. A MongoDB connection string supplied by a reviewer is saved for the workspace, removed from the comment and never sent to the model (Table 6.1), so credentials do not leave the customer's control. And security findings come back to the Coder Agent as a revision; in the Login and Signup feature, a hardcoded fallback credential and a NoSQL injection risk were fixed this way and the result passed verification (Section 6.2.3). A hosted service must add one rule: generation and verification run against test databases only, never against a store's live customer data.</w:t>
      </w:r>
    </w:p>
    <w:p>
      <w:pPr>
        <w:pStyle w:val="Heading2"/>
      </w:pPr>
      <w:r>
        <w:rPr>
          <w:rFonts w:ascii="Times New Roman" w:hAnsi="Times New Roman" w:cs="Times New Roman" w:eastAsia="Times New Roman"/>
        </w:rPr>
        <w:t>8.5 Contribution to the Sustainable Development Goals</w:t>
      </w:r>
    </w:p>
    <w:p>
      <w:pPr>
        <w:jc w:val="both"/>
      </w:pPr>
      <w:r>
        <w:rPr>
          <w:rFonts w:ascii="Times New Roman" w:hAnsi="Times New Roman" w:cs="Times New Roman" w:eastAsia="Times New Roman"/>
        </w:rPr>
        <w:t>The common report links AutoForge to SDG 9 (Industry, Innovation and Infrastructure) and SDG 8 (Decent Work and Economic Growth). The Coder Agent's contribution to SDG 9, and in particular target 9.5 on upgrading technological capabilities, is a safer way to use AI for building software, with isolation, evidence and human approval, which small firms can run on their own hardware. Its contribution to SDG 8, targets 8.2 and 8.3, would come through productivity in small development firms, which could deliver routine features faster without giving up review.</w:t>
      </w:r>
    </w:p>
    <w:p>
      <w:pPr>
        <w:jc w:val="both"/>
      </w:pPr>
      <w:r>
        <w:rPr>
          <w:rFonts w:ascii="Times New Roman" w:hAnsi="Times New Roman" w:cs="Times New Roman" w:eastAsia="Times New Roman"/>
        </w:rPr>
        <w:t>These contributions are potential rather than demonstrated. There are also negative effects to manage. Repeated builds use energy; caching and stopping after a clear environmental failure, rather than retrying, would reduce the waste. Tools that write routine code may also reduce the practice junior developers get. The component keeps a developer responsible for every merge, and the review of a real diff is itself a place where junior developers can learn by reading and correcting code. A responsible next step would be a pilot with a real agency, measuring review time, accepted changes, defects found after merge and the energy used per feature.</w:t>
      </w:r>
    </w:p>
    <w:p>
      <w:pPr/>
      <w:r>
        <w:br w:type="page"/>
      </w:r>
    </w:p>
    <w:p>
      <w:pPr>
        <w:pStyle w:val="Heading1"/>
      </w:pPr>
      <w:r>
        <w:rPr>
          <w:rFonts w:ascii="Times New Roman" w:hAnsi="Times New Roman" w:cs="Times New Roman" w:eastAsia="Times New Roman"/>
        </w:rPr>
        <w:t>REFERENCES TO ADD</w:t>
      </w:r>
    </w:p>
    <w:p>
      <w:pPr/>
      <w:r>
        <w:rPr>
          <w:rFonts w:ascii="Times New Roman" w:hAnsi="Times New Roman" w:cs="Times New Roman" w:eastAsia="Times New Roman"/>
        </w:rPr>
        <w:t>Append these entries to the end of the thesis reference list. The numbers continue from [17], the last entry in the current list.</w:t>
      </w:r>
    </w:p>
    <w:p>
      <w:pPr>
        <w:spacing w:line="240" w:lineRule="auto" w:after="240"/>
        <w:ind w:left="567" w:hanging="567"/>
      </w:pPr>
      <w:r>
        <w:rPr>
          <w:rFonts w:ascii="Times New Roman" w:hAnsi="Times New Roman" w:cs="Times New Roman" w:eastAsia="Times New Roman"/>
        </w:rPr>
        <w:t>[18] Stack Overflow, “2025 Developer Survey: AI,” 2025. [Online]. Available: https://survey.stackoverflow.co/2025/ai (accessed Oct. 8, 2026).</w:t>
      </w:r>
    </w:p>
    <w:p>
      <w:pPr>
        <w:spacing w:line="240" w:lineRule="auto" w:after="240"/>
        <w:ind w:left="567" w:hanging="567"/>
      </w:pPr>
      <w:r>
        <w:rPr>
          <w:rFonts w:ascii="Times New Roman" w:hAnsi="Times New Roman" w:cs="Times New Roman" w:eastAsia="Times New Roman"/>
        </w:rPr>
        <w:t>[19] “SLASSCOM reflects on a year of creating opportunities, strengthening Sri Lanka’s knowledge and innovation industry,” Daily FT, Jul. 15, 2026. [Online]. Available: https://www.ft.lk/it-telecom-tech/SLASSCOM-reflects-on-a-year-of-creating-opportunities-strengthening-Sri-Lanka-s-knowledge-and-innovation-industry/50-794672 (accessed Oct. 8, 2026).</w:t>
      </w:r>
    </w:p>
    <w:p>
      <w:pPr>
        <w:spacing w:line="240" w:lineRule="auto" w:after="240"/>
        <w:ind w:left="567" w:hanging="567"/>
      </w:pPr>
      <w:r>
        <w:rPr>
          <w:rFonts w:ascii="Times New Roman" w:hAnsi="Times New Roman" w:cs="Times New Roman" w:eastAsia="Times New Roman"/>
        </w:rPr>
        <w:t>[20] “Data protection compliance regime takes effect on 1 Jan. 2027,” Daily FT, 2026. [Online]. Available: https://www.ft.lk/front-page/Data-protection-compliance-regime-takes-effect-on-1-Jan-2027/44-795776 (accessed Oct. 8, 2026).</w:t>
      </w:r>
    </w:p>
    <w:p>
      <w:pPr>
        <w:spacing w:line="240" w:lineRule="auto" w:after="240"/>
        <w:ind w:left="567" w:hanging="567"/>
      </w:pPr>
      <w:r>
        <w:rPr>
          <w:rFonts w:ascii="Times New Roman" w:hAnsi="Times New Roman" w:cs="Times New Roman" w:eastAsia="Times New Roman"/>
        </w:rPr>
        <w:t>[21] GitHub, “GitHub Copilot plans and pricing.” [Online]. Available: https://github.com/features/copilot/plans (accessed Oct. 8, 2026).</w:t>
      </w:r>
    </w:p>
    <w:p>
      <w:pPr>
        <w:spacing w:line="240" w:lineRule="auto" w:after="240"/>
        <w:ind w:left="567" w:hanging="567"/>
      </w:pPr>
      <w:r>
        <w:rPr>
          <w:rFonts w:ascii="Times New Roman" w:hAnsi="Times New Roman" w:cs="Times New Roman" w:eastAsia="Times New Roman"/>
        </w:rPr>
        <w:t>[22] Anysphere, “Cursor pricing.” [Online]. Available: https://cursor.com/pricing (accessed Oct. 8, 2026).</w:t>
      </w:r>
    </w:p>
    <w:p>
      <w:pPr>
        <w:spacing w:line="240" w:lineRule="auto" w:after="240"/>
        <w:ind w:left="567" w:hanging="567"/>
      </w:pPr>
      <w:r>
        <w:rPr>
          <w:rFonts w:ascii="Times New Roman" w:hAnsi="Times New Roman" w:cs="Times New Roman" w:eastAsia="Times New Roman"/>
        </w:rPr>
        <w:t>[23] Lovable, “Subscription plans.” [Online]. Available: https://docs.lovable.dev/introduction/subscription-plans (accessed Oct. 8, 2026).</w:t>
      </w:r>
    </w:p>
    <w:p>
      <w:pPr>
        <w:spacing w:line="240" w:lineRule="auto" w:after="240"/>
        <w:ind w:left="567" w:hanging="567"/>
      </w:pPr>
      <w:r>
        <w:rPr>
          <w:rFonts w:ascii="Times New Roman" w:hAnsi="Times New Roman" w:cs="Times New Roman" w:eastAsia="Times New Roman"/>
        </w:rPr>
        <w:t>[24] StackBlitz, “Bolt pricing.” [Online]. Available: https://bolt.new/pricing (accessed Oct. 8, 2026).</w:t>
      </w:r>
    </w:p>
    <w:p>
      <w:pPr>
        <w:spacing w:line="240" w:lineRule="auto" w:after="240"/>
        <w:ind w:left="567" w:hanging="567"/>
      </w:pPr>
      <w:r>
        <w:rPr>
          <w:rFonts w:ascii="Times New Roman" w:hAnsi="Times New Roman" w:cs="Times New Roman" w:eastAsia="Times New Roman"/>
        </w:rPr>
        <w:t>[25] Exchange-Rates.org, “USD to LKR: Convert US Dollars to Sri Lanka Rupees.” [Online]. Available: https://www.exchange-rates.org/converter/usd-lkr (accessed Oct. 7, 2026).</w:t>
      </w:r>
    </w:p>
    <w:sectPr w:rsidR="00FC693F" w:rsidRPr="0006063C" w:rsidSect="00034616">
      <w:pgSz w:w="11906" w:h="16838"/>
      <w:pgMar w:top="1417" w:right="1417"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60" w:after="80"/>
    </w:pPr>
    <w:rPr>
      <w:rFonts w:ascii="Times New Roman" w:hAnsi="Times New Roman" w:cs="Times New Roman" w:eastAsia="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