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rPr>
        <w:t>8 COMMERCIALISATION AND SUSTAINABILITY</w:t>
      </w:r>
    </w:p>
    <w:p>
      <w:pPr>
        <w:pStyle w:val="Heading2"/>
      </w:pPr>
      <w:r>
        <w:rPr>
          <w:rFonts w:ascii="Times New Roman" w:hAnsi="Times New Roman" w:cs="Times New Roman" w:eastAsia="Times New Roman"/>
        </w:rPr>
        <w:t>8.1 Value proposition and target users</w:t>
      </w:r>
    </w:p>
    <w:p>
      <w:pPr>
        <w:jc w:val="both"/>
      </w:pPr>
      <w:r>
        <w:rPr>
          <w:rFonts w:ascii="Times New Roman" w:hAnsi="Times New Roman" w:cs="Times New Roman" w:eastAsia="Times New Roman"/>
        </w:rPr>
        <w:t>The team's common report sets out the commercial case for AutoForge as a whole: teams that build software with AI need to see and approve each stage before it ships. My component contributes the stage where most of the visible design work happens, and the stage a paying client is most likely to look at. Small agencies often skip written design for small features because it takes time, and clients often ask for changes only after a screen has been built. Both habits make rework expensive. AI tools have not removed this problem: in the 2025 Stack Overflow Developer Survey, 66% of developers said their biggest frustration with AI was output that is "almost right, but not quite" [20]. A design that is almost right is much cheaper to correct as a diagram or a preview than as finished code.</w:t>
      </w:r>
    </w:p>
    <w:p>
      <w:pPr>
        <w:jc w:val="both"/>
      </w:pPr>
      <w:r>
        <w:rPr>
          <w:rFonts w:ascii="Times New Roman" w:hAnsi="Times New Roman" w:cs="Times New Roman" w:eastAsia="Times New Roman"/>
        </w:rPr>
        <w:t>My component offers two outputs that would be useful even outside the full pipeline. The first is a design pack for each feature: an architecture plan organised into views, a traceability matrix, three UML diagrams and a file-level implementation plan for the Coder Agent. Every identifier the validator requires was traced, even on the fallback path, with 36 rows in the retail store matrix (Table 6.2). The second is a set of page previews with realistic content that a client can approve before any code is written. In the retail store feature both pages were complete, realistic and free of placeholder text (Section 6.2.3). The previews open offline and every link in them is made inert, so an agency can safely send them to a client. Review of these outputs was not a formality: both of my stages needed revision before approval in the Item Listing case study, and the reviewer removed a false actor that no validator had flagged (Section 6.2.4).</w:t>
      </w:r>
    </w:p>
    <w:p>
      <w:pPr>
        <w:jc w:val="both"/>
      </w:pPr>
      <w:r>
        <w:rPr>
          <w:rFonts w:ascii="Times New Roman" w:hAnsi="Times New Roman" w:cs="Times New Roman" w:eastAsia="Times New Roman"/>
        </w:rPr>
        <w:t>Table 8.1 shows who would use the component and what each group gains.</w:t>
      </w:r>
    </w:p>
    <w:p>
      <w:pPr>
        <w:pStyle w:val="Caption"/>
        <w:keepNext/>
        <w:jc w:val="center"/>
      </w:pPr>
      <w:r>
        <w:rPr>
          <w:rFonts w:ascii="Times New Roman" w:hAnsi="Times New Roman" w:cs="Times New Roman" w:eastAsia="Times New Roman"/>
        </w:rPr>
        <w:t>Table 8.1: Target users of the component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2041"/>
            <w:shd w:val="clear" w:color="auto" w:fill="D9D9D9"/>
            <w:tcW w:w="2041" w:type="dxa"/>
          </w:tcPr>
          <w:p>
            <w:pPr>
              <w:spacing w:line="240" w:lineRule="auto" w:after="0"/>
            </w:pPr>
            <w:r/>
            <w:r>
              <w:rPr>
                <w:rFonts w:ascii="Times New Roman" w:hAnsi="Times New Roman" w:cs="Times New Roman" w:eastAsia="Times New Roman"/>
                <w:b/>
                <w:sz w:val="20"/>
              </w:rPr>
              <w:t>User group</w:t>
            </w:r>
          </w:p>
        </w:tc>
        <w:tc>
          <w:tcPr>
            <w:tcW w:type="dxa" w:w="2665"/>
            <w:shd w:val="clear" w:color="auto" w:fill="D9D9D9"/>
            <w:tcW w:w="2664" w:type="dxa"/>
          </w:tcPr>
          <w:p>
            <w:pPr>
              <w:spacing w:line="240" w:lineRule="auto" w:after="0"/>
            </w:pPr>
            <w:r/>
            <w:r>
              <w:rPr>
                <w:rFonts w:ascii="Times New Roman" w:hAnsi="Times New Roman" w:cs="Times New Roman" w:eastAsia="Times New Roman"/>
                <w:b/>
                <w:sz w:val="20"/>
              </w:rPr>
              <w:t>Need</w:t>
            </w:r>
          </w:p>
        </w:tc>
        <w:tc>
          <w:tcPr>
            <w:tcW w:type="dxa" w:w="3515"/>
            <w:shd w:val="clear" w:color="auto" w:fill="D9D9D9"/>
            <w:tcW w:w="3515" w:type="dxa"/>
          </w:tcPr>
          <w:p>
            <w:pPr>
              <w:spacing w:line="240" w:lineRule="auto" w:after="0"/>
            </w:pPr>
            <w:r/>
            <w:r>
              <w:rPr>
                <w:rFonts w:ascii="Times New Roman" w:hAnsi="Times New Roman" w:cs="Times New Roman" w:eastAsia="Times New Roman"/>
                <w:b/>
                <w:sz w:val="20"/>
              </w:rPr>
              <w:t>What the component provides</w:t>
            </w:r>
          </w:p>
        </w:tc>
      </w:tr>
      <w:tr>
        <w:trPr>
          <w:cantSplit w:val="true"/>
        </w:trPr>
        <w:tc>
          <w:tcPr>
            <w:tcW w:type="dxa" w:w="2041"/>
            <w:tcW w:w="2041" w:type="dxa"/>
          </w:tcPr>
          <w:p>
            <w:pPr>
              <w:spacing w:line="240" w:lineRule="auto" w:after="0"/>
            </w:pPr>
            <w:r/>
            <w:r>
              <w:rPr>
                <w:rFonts w:ascii="Times New Roman" w:hAnsi="Times New Roman" w:cs="Times New Roman" w:eastAsia="Times New Roman"/>
                <w:sz w:val="20"/>
              </w:rPr>
              <w:t>Developers and technical leads in small agencies</w:t>
            </w:r>
          </w:p>
        </w:tc>
        <w:tc>
          <w:tcPr>
            <w:tcW w:type="dxa" w:w="2665"/>
            <w:tcW w:w="2664" w:type="dxa"/>
          </w:tcPr>
          <w:p>
            <w:pPr>
              <w:spacing w:line="240" w:lineRule="auto" w:after="0"/>
            </w:pPr>
            <w:r/>
            <w:r>
              <w:rPr>
                <w:rFonts w:ascii="Times New Roman" w:hAnsi="Times New Roman" w:cs="Times New Roman" w:eastAsia="Times New Roman"/>
                <w:sz w:val="20"/>
              </w:rPr>
              <w:t>A design for each feature without spending a day on it</w:t>
            </w:r>
          </w:p>
        </w:tc>
        <w:tc>
          <w:tcPr>
            <w:tcW w:type="dxa" w:w="3515"/>
            <w:tcW w:w="3515" w:type="dxa"/>
          </w:tcPr>
          <w:p>
            <w:pPr>
              <w:spacing w:line="240" w:lineRule="auto" w:after="0"/>
            </w:pPr>
            <w:r/>
            <w:r>
              <w:rPr>
                <w:rFonts w:ascii="Times New Roman" w:hAnsi="Times New Roman" w:cs="Times New Roman" w:eastAsia="Times New Roman"/>
                <w:sz w:val="20"/>
              </w:rPr>
              <w:t>A traced architecture plan, UML diagrams and a file-level implementation plan as a first draft to correct</w:t>
            </w:r>
          </w:p>
        </w:tc>
      </w:tr>
      <w:tr>
        <w:trPr>
          <w:cantSplit w:val="true"/>
        </w:trPr>
        <w:tc>
          <w:tcPr>
            <w:tcW w:type="dxa" w:w="2041"/>
            <w:tcW w:w="2041" w:type="dxa"/>
          </w:tcPr>
          <w:p>
            <w:pPr>
              <w:spacing w:line="240" w:lineRule="auto" w:after="0"/>
            </w:pPr>
            <w:r/>
            <w:r>
              <w:rPr>
                <w:rFonts w:ascii="Times New Roman" w:hAnsi="Times New Roman" w:cs="Times New Roman" w:eastAsia="Times New Roman"/>
                <w:sz w:val="20"/>
              </w:rPr>
              <w:t>Designers</w:t>
            </w:r>
          </w:p>
        </w:tc>
        <w:tc>
          <w:tcPr>
            <w:tcW w:type="dxa" w:w="2665"/>
            <w:tcW w:w="2664" w:type="dxa"/>
          </w:tcPr>
          <w:p>
            <w:pPr>
              <w:spacing w:line="240" w:lineRule="auto" w:after="0"/>
            </w:pPr>
            <w:r/>
            <w:r>
              <w:rPr>
                <w:rFonts w:ascii="Times New Roman" w:hAnsi="Times New Roman" w:cs="Times New Roman" w:eastAsia="Times New Roman"/>
                <w:sz w:val="20"/>
              </w:rPr>
              <w:t>Screens that match the requirements and stay consistent across features</w:t>
            </w:r>
          </w:p>
        </w:tc>
        <w:tc>
          <w:tcPr>
            <w:tcW w:type="dxa" w:w="3515"/>
            <w:tcW w:w="3515" w:type="dxa"/>
          </w:tcPr>
          <w:p>
            <w:pPr>
              <w:spacing w:line="240" w:lineRule="auto" w:after="0"/>
            </w:pPr>
            <w:r/>
            <w:r>
              <w:rPr>
                <w:rFonts w:ascii="Times New Roman" w:hAnsi="Times New Roman" w:cs="Times New Roman" w:eastAsia="Times New Roman"/>
                <w:sz w:val="20"/>
              </w:rPr>
              <w:t>Page previews built component by component, and a shared design system updated only on approval</w:t>
            </w:r>
          </w:p>
        </w:tc>
      </w:tr>
      <w:tr>
        <w:trPr>
          <w:cantSplit w:val="true"/>
        </w:trPr>
        <w:tc>
          <w:tcPr>
            <w:tcW w:type="dxa" w:w="2041"/>
            <w:tcW w:w="2041" w:type="dxa"/>
          </w:tcPr>
          <w:p>
            <w:pPr>
              <w:spacing w:line="240" w:lineRule="auto" w:after="0"/>
            </w:pPr>
            <w:r/>
            <w:r>
              <w:rPr>
                <w:rFonts w:ascii="Times New Roman" w:hAnsi="Times New Roman" w:cs="Times New Roman" w:eastAsia="Times New Roman"/>
                <w:sz w:val="20"/>
              </w:rPr>
              <w:t>Clients of those agencies</w:t>
            </w:r>
          </w:p>
        </w:tc>
        <w:tc>
          <w:tcPr>
            <w:tcW w:type="dxa" w:w="2665"/>
            <w:tcW w:w="2664" w:type="dxa"/>
          </w:tcPr>
          <w:p>
            <w:pPr>
              <w:spacing w:line="240" w:lineRule="auto" w:after="0"/>
            </w:pPr>
            <w:r/>
            <w:r>
              <w:rPr>
                <w:rFonts w:ascii="Times New Roman" w:hAnsi="Times New Roman" w:cs="Times New Roman" w:eastAsia="Times New Roman"/>
                <w:sz w:val="20"/>
              </w:rPr>
              <w:t>See and approve the screens before paying for development</w:t>
            </w:r>
          </w:p>
        </w:tc>
        <w:tc>
          <w:tcPr>
            <w:tcW w:type="dxa" w:w="3515"/>
            <w:tcW w:w="3515" w:type="dxa"/>
          </w:tcPr>
          <w:p>
            <w:pPr>
              <w:spacing w:line="240" w:lineRule="auto" w:after="0"/>
            </w:pPr>
            <w:r/>
            <w:r>
              <w:rPr>
                <w:rFonts w:ascii="Times New Roman" w:hAnsi="Times New Roman" w:cs="Times New Roman" w:eastAsia="Times New Roman"/>
                <w:sz w:val="20"/>
              </w:rPr>
              <w:t>Offline page previews with realistic content that can be shared safely</w:t>
            </w:r>
          </w:p>
        </w:tc>
      </w:tr>
      <w:tr>
        <w:trPr>
          <w:cantSplit w:val="true"/>
        </w:trPr>
        <w:tc>
          <w:tcPr>
            <w:tcW w:type="dxa" w:w="2041"/>
            <w:tcW w:w="2041" w:type="dxa"/>
          </w:tcPr>
          <w:p>
            <w:pPr>
              <w:spacing w:line="240" w:lineRule="auto" w:after="0"/>
            </w:pPr>
            <w:r/>
            <w:r>
              <w:rPr>
                <w:rFonts w:ascii="Times New Roman" w:hAnsi="Times New Roman" w:cs="Times New Roman" w:eastAsia="Times New Roman"/>
                <w:sz w:val="20"/>
              </w:rPr>
              <w:t>Lecturers and students</w:t>
            </w:r>
          </w:p>
        </w:tc>
        <w:tc>
          <w:tcPr>
            <w:tcW w:type="dxa" w:w="2665"/>
            <w:tcW w:w="2664" w:type="dxa"/>
          </w:tcPr>
          <w:p>
            <w:pPr>
              <w:spacing w:line="240" w:lineRule="auto" w:after="0"/>
            </w:pPr>
            <w:r/>
            <w:r>
              <w:rPr>
                <w:rFonts w:ascii="Times New Roman" w:hAnsi="Times New Roman" w:cs="Times New Roman" w:eastAsia="Times New Roman"/>
                <w:sz w:val="20"/>
              </w:rPr>
              <w:t>Teach architecture and UML with real examples</w:t>
            </w:r>
          </w:p>
        </w:tc>
        <w:tc>
          <w:tcPr>
            <w:tcW w:type="dxa" w:w="3515"/>
            <w:tcW w:w="3515" w:type="dxa"/>
          </w:tcPr>
          <w:p>
            <w:pPr>
              <w:spacing w:line="240" w:lineRule="auto" w:after="0"/>
            </w:pPr>
            <w:r/>
            <w:r>
              <w:rPr>
                <w:rFonts w:ascii="Times New Roman" w:hAnsi="Times New Roman" w:cs="Times New Roman" w:eastAsia="Times New Roman"/>
                <w:sz w:val="20"/>
              </w:rPr>
              <w:t>Plans and diagrams traced to a specification, with the UML rules each one was checked against</w:t>
            </w:r>
          </w:p>
        </w:tc>
      </w:tr>
    </w:tbl>
    <w:p>
      <w:pPr>
        <w:spacing w:after="0"/>
      </w:pPr>
    </w:p>
    <w:p>
      <w:pPr>
        <w:jc w:val="both"/>
      </w:pPr>
      <w:r>
        <w:rPr>
          <w:rFonts w:ascii="Times New Roman" w:hAnsi="Times New Roman" w:cs="Times New Roman" w:eastAsia="Times New Roman"/>
        </w:rPr>
        <w:t>This evidence comes from our own study, and no architect or designer outside the team has yet evaluated the component (Section 6.3). The team is therefore surveying developers, designers and agency staff, as described in Section 7.1 of the common report. For this component the key result is [insert: the percentage of respondents who would want to approve the architecture and UI/UX stages, and the percentage whose clients ask for changes after screens have been built].</w:t>
      </w:r>
    </w:p>
    <w:p>
      <w:pPr>
        <w:pStyle w:val="Heading2"/>
      </w:pPr>
      <w:r>
        <w:rPr>
          <w:rFonts w:ascii="Times New Roman" w:hAnsi="Times New Roman" w:cs="Times New Roman" w:eastAsia="Times New Roman"/>
        </w:rPr>
        <w:t>8.2 Market and competitive position</w:t>
      </w:r>
    </w:p>
    <w:p>
      <w:pPr>
        <w:jc w:val="both"/>
      </w:pPr>
      <w:r>
        <w:rPr>
          <w:rFonts w:ascii="Times New Roman" w:hAnsi="Times New Roman" w:cs="Times New Roman" w:eastAsia="Times New Roman"/>
        </w:rPr>
        <w:t>The first market is the one AutoForge targets: small e-commerce development teams and agencies, beginning in Sri Lanka, whose IT and business process management industry has more than 680 companies and over 700 active startups [21]. Agencies that build stores for clients are the users who gain most from this component, because client sign-off on design is part of their everyday work.</w:t>
      </w:r>
    </w:p>
    <w:p>
      <w:pPr>
        <w:jc w:val="both"/>
      </w:pPr>
      <w:r>
        <w:rPr>
          <w:rFonts w:ascii="Times New Roman" w:hAnsi="Times New Roman" w:cs="Times New Roman" w:eastAsia="Times New Roman"/>
        </w:rPr>
        <w:t>Table 8.2 compares the component with what these users can do today. The prices are published plan prices in October 2026, converted at 330.43 rupees to the dollar [27].</w:t>
      </w:r>
    </w:p>
    <w:p>
      <w:pPr>
        <w:pStyle w:val="Caption"/>
        <w:keepNext/>
        <w:jc w:val="center"/>
      </w:pPr>
      <w:r>
        <w:rPr>
          <w:rFonts w:ascii="Times New Roman" w:hAnsi="Times New Roman" w:cs="Times New Roman" w:eastAsia="Times New Roman"/>
        </w:rPr>
        <w:t>Table 8.2: Alternatives for producing a feature design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055"/>
        <w:gridCol w:w="2055"/>
        <w:gridCol w:w="2055"/>
        <w:gridCol w:w="2055"/>
      </w:tblGrid>
      <w:tr>
        <w:trPr>
          <w:tblHeader w:val="true"/>
          <w:cantSplit w:val="true"/>
        </w:trPr>
        <w:tc>
          <w:tcPr>
            <w:tcW w:type="dxa" w:w="1871"/>
            <w:shd w:val="clear" w:color="auto" w:fill="D9D9D9"/>
            <w:tcW w:w="1871" w:type="dxa"/>
          </w:tcPr>
          <w:p>
            <w:pPr>
              <w:spacing w:line="240" w:lineRule="auto" w:after="0"/>
            </w:pPr>
            <w:r/>
            <w:r>
              <w:rPr>
                <w:rFonts w:ascii="Times New Roman" w:hAnsi="Times New Roman" w:cs="Times New Roman" w:eastAsia="Times New Roman"/>
                <w:b/>
                <w:sz w:val="20"/>
              </w:rPr>
              <w:t>Alternative</w:t>
            </w:r>
          </w:p>
        </w:tc>
        <w:tc>
          <w:tcPr>
            <w:tcW w:type="dxa" w:w="1701"/>
            <w:shd w:val="clear" w:color="auto" w:fill="D9D9D9"/>
            <w:tcW w:w="1701" w:type="dxa"/>
          </w:tcPr>
          <w:p>
            <w:pPr>
              <w:spacing w:line="240" w:lineRule="auto" w:after="0"/>
            </w:pPr>
            <w:r/>
            <w:r>
              <w:rPr>
                <w:rFonts w:ascii="Times New Roman" w:hAnsi="Times New Roman" w:cs="Times New Roman" w:eastAsia="Times New Roman"/>
                <w:b/>
                <w:sz w:val="20"/>
              </w:rPr>
              <w:t>Typical cost</w:t>
            </w:r>
          </w:p>
        </w:tc>
        <w:tc>
          <w:tcPr>
            <w:tcW w:type="dxa" w:w="1701"/>
            <w:shd w:val="clear" w:color="auto" w:fill="D9D9D9"/>
            <w:tcW w:w="1701" w:type="dxa"/>
          </w:tcPr>
          <w:p>
            <w:pPr>
              <w:spacing w:line="240" w:lineRule="auto" w:after="0"/>
            </w:pPr>
            <w:r/>
            <w:r>
              <w:rPr>
                <w:rFonts w:ascii="Times New Roman" w:hAnsi="Times New Roman" w:cs="Times New Roman" w:eastAsia="Times New Roman"/>
                <w:b/>
                <w:sz w:val="20"/>
              </w:rPr>
              <w:t>Strength</w:t>
            </w:r>
          </w:p>
        </w:tc>
        <w:tc>
          <w:tcPr>
            <w:tcW w:type="dxa" w:w="2948"/>
            <w:shd w:val="clear" w:color="auto" w:fill="D9D9D9"/>
            <w:tcW w:w="2948" w:type="dxa"/>
          </w:tcPr>
          <w:p>
            <w:pPr>
              <w:spacing w:line="240" w:lineRule="auto" w:after="0"/>
            </w:pPr>
            <w:r/>
            <w:r>
              <w:rPr>
                <w:rFonts w:ascii="Times New Roman" w:hAnsi="Times New Roman" w:cs="Times New Roman" w:eastAsia="Times New Roman"/>
                <w:b/>
                <w:sz w:val="20"/>
              </w:rPr>
              <w:t>Weakness compared with this component</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Designing by hand</w:t>
            </w:r>
          </w:p>
        </w:tc>
        <w:tc>
          <w:tcPr>
            <w:tcW w:type="dxa" w:w="1701"/>
            <w:tcW w:w="1701" w:type="dxa"/>
          </w:tcPr>
          <w:p>
            <w:pPr>
              <w:spacing w:line="240" w:lineRule="auto" w:after="0"/>
            </w:pPr>
            <w:r/>
            <w:r>
              <w:rPr>
                <w:rFonts w:ascii="Times New Roman" w:hAnsi="Times New Roman" w:cs="Times New Roman" w:eastAsia="Times New Roman"/>
                <w:sz w:val="20"/>
              </w:rPr>
              <w:t>Developer or designer time</w:t>
            </w:r>
          </w:p>
        </w:tc>
        <w:tc>
          <w:tcPr>
            <w:tcW w:type="dxa" w:w="1701"/>
            <w:tcW w:w="1701" w:type="dxa"/>
          </w:tcPr>
          <w:p>
            <w:pPr>
              <w:spacing w:line="240" w:lineRule="auto" w:after="0"/>
            </w:pPr>
            <w:r/>
            <w:r>
              <w:rPr>
                <w:rFonts w:ascii="Times New Roman" w:hAnsi="Times New Roman" w:cs="Times New Roman" w:eastAsia="Times New Roman"/>
                <w:sz w:val="20"/>
              </w:rPr>
              <w:t>Full judgement and context</w:t>
            </w:r>
          </w:p>
        </w:tc>
        <w:tc>
          <w:tcPr>
            <w:tcW w:type="dxa" w:w="2948"/>
            <w:tcW w:w="2948" w:type="dxa"/>
          </w:tcPr>
          <w:p>
            <w:pPr>
              <w:spacing w:line="240" w:lineRule="auto" w:after="0"/>
            </w:pPr>
            <w:r/>
            <w:r>
              <w:rPr>
                <w:rFonts w:ascii="Times New Roman" w:hAnsi="Times New Roman" w:cs="Times New Roman" w:eastAsia="Times New Roman"/>
                <w:sz w:val="20"/>
              </w:rPr>
              <w:t>Slow; often skipped for small features; traceability rarely kept</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General chat assistant (ChatGPT Business, Claude Team)</w:t>
            </w:r>
          </w:p>
        </w:tc>
        <w:tc>
          <w:tcPr>
            <w:tcW w:type="dxa" w:w="1701"/>
            <w:tcW w:w="1701" w:type="dxa"/>
          </w:tcPr>
          <w:p>
            <w:pPr>
              <w:spacing w:line="240" w:lineRule="auto" w:after="0"/>
            </w:pPr>
            <w:r/>
            <w:r>
              <w:rPr>
                <w:rFonts w:ascii="Times New Roman" w:hAnsi="Times New Roman" w:cs="Times New Roman" w:eastAsia="Times New Roman"/>
                <w:sz w:val="20"/>
              </w:rPr>
              <w:t>USD 25 (about LKR 8,260) per user per month [25], [26]</w:t>
            </w:r>
          </w:p>
        </w:tc>
        <w:tc>
          <w:tcPr>
            <w:tcW w:type="dxa" w:w="1701"/>
            <w:tcW w:w="1701" w:type="dxa"/>
          </w:tcPr>
          <w:p>
            <w:pPr>
              <w:spacing w:line="240" w:lineRule="auto" w:after="0"/>
            </w:pPr>
            <w:r/>
            <w:r>
              <w:rPr>
                <w:rFonts w:ascii="Times New Roman" w:hAnsi="Times New Roman" w:cs="Times New Roman" w:eastAsia="Times New Roman"/>
                <w:sz w:val="20"/>
              </w:rPr>
              <w:t>Fast and flexible</w:t>
            </w:r>
          </w:p>
        </w:tc>
        <w:tc>
          <w:tcPr>
            <w:tcW w:type="dxa" w:w="2948"/>
            <w:tcW w:w="2948" w:type="dxa"/>
          </w:tcPr>
          <w:p>
            <w:pPr>
              <w:spacing w:line="240" w:lineRule="auto" w:after="0"/>
            </w:pPr>
            <w:r/>
            <w:r>
              <w:rPr>
                <w:rFonts w:ascii="Times New Roman" w:hAnsi="Times New Roman" w:cs="Times New Roman" w:eastAsia="Times New Roman"/>
                <w:sz w:val="20"/>
              </w:rPr>
              <w:t>No fixed structure, coverage check or UML rules; output not tied to requirement IDs</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Prompt-to-UI and app builders (Lovable, Bolt)</w:t>
            </w:r>
          </w:p>
        </w:tc>
        <w:tc>
          <w:tcPr>
            <w:tcW w:type="dxa" w:w="1701"/>
            <w:tcW w:w="1701" w:type="dxa"/>
          </w:tcPr>
          <w:p>
            <w:pPr>
              <w:spacing w:line="240" w:lineRule="auto" w:after="0"/>
            </w:pPr>
            <w:r/>
            <w:r>
              <w:rPr>
                <w:rFonts w:ascii="Times New Roman" w:hAnsi="Times New Roman" w:cs="Times New Roman" w:eastAsia="Times New Roman"/>
                <w:sz w:val="20"/>
              </w:rPr>
              <w:t>USD 25 to 50 per user per month [23], [24]</w:t>
            </w:r>
          </w:p>
        </w:tc>
        <w:tc>
          <w:tcPr>
            <w:tcW w:type="dxa" w:w="1701"/>
            <w:tcW w:w="1701" w:type="dxa"/>
          </w:tcPr>
          <w:p>
            <w:pPr>
              <w:spacing w:line="240" w:lineRule="auto" w:after="0"/>
            </w:pPr>
            <w:r/>
            <w:r>
              <w:rPr>
                <w:rFonts w:ascii="Times New Roman" w:hAnsi="Times New Roman" w:cs="Times New Roman" w:eastAsia="Times New Roman"/>
                <w:sz w:val="20"/>
              </w:rPr>
              <w:t>Attractive screens quickly</w:t>
            </w:r>
          </w:p>
        </w:tc>
        <w:tc>
          <w:tcPr>
            <w:tcW w:type="dxa" w:w="2948"/>
            <w:tcW w:w="2948" w:type="dxa"/>
          </w:tcPr>
          <w:p>
            <w:pPr>
              <w:spacing w:line="240" w:lineRule="auto" w:after="0"/>
            </w:pPr>
            <w:r/>
            <w:r>
              <w:rPr>
                <w:rFonts w:ascii="Times New Roman" w:hAnsi="Times New Roman" w:cs="Times New Roman" w:eastAsia="Times New Roman"/>
                <w:sz w:val="20"/>
              </w:rPr>
              <w:t>Not tied to a specification or an architecture; no coverage check; no design record</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Role-based frameworks such as MetaGPT [2]</w:t>
            </w:r>
          </w:p>
        </w:tc>
        <w:tc>
          <w:tcPr>
            <w:tcW w:type="dxa" w:w="1701"/>
            <w:tcW w:w="1701" w:type="dxa"/>
          </w:tcPr>
          <w:p>
            <w:pPr>
              <w:spacing w:line="240" w:lineRule="auto" w:after="0"/>
            </w:pPr>
            <w:r/>
            <w:r>
              <w:rPr>
                <w:rFonts w:ascii="Times New Roman" w:hAnsi="Times New Roman" w:cs="Times New Roman" w:eastAsia="Times New Roman"/>
                <w:sz w:val="20"/>
              </w:rPr>
              <w:t>Free (open source)</w:t>
            </w:r>
          </w:p>
        </w:tc>
        <w:tc>
          <w:tcPr>
            <w:tcW w:type="dxa" w:w="1701"/>
            <w:tcW w:w="1701" w:type="dxa"/>
          </w:tcPr>
          <w:p>
            <w:pPr>
              <w:spacing w:line="240" w:lineRule="auto" w:after="0"/>
            </w:pPr>
            <w:r/>
            <w:r>
              <w:rPr>
                <w:rFonts w:ascii="Times New Roman" w:hAnsi="Times New Roman" w:cs="Times New Roman" w:eastAsia="Times New Roman"/>
                <w:sz w:val="20"/>
              </w:rPr>
              <w:t>Design documents within a pipeline</w:t>
            </w:r>
          </w:p>
        </w:tc>
        <w:tc>
          <w:tcPr>
            <w:tcW w:type="dxa" w:w="2948"/>
            <w:tcW w:w="2948" w:type="dxa"/>
          </w:tcPr>
          <w:p>
            <w:pPr>
              <w:spacing w:line="240" w:lineRule="auto" w:after="0"/>
            </w:pPr>
            <w:r/>
            <w:r>
              <w:rPr>
                <w:rFonts w:ascii="Times New Roman" w:hAnsi="Times New Roman" w:cs="Times New Roman" w:eastAsia="Times New Roman"/>
                <w:sz w:val="20"/>
              </w:rPr>
              <w:t>Reviewed by agents, not by a person at a durable gate</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This component (within AutoForge)</w:t>
            </w:r>
          </w:p>
        </w:tc>
        <w:tc>
          <w:tcPr>
            <w:tcW w:type="dxa" w:w="1701"/>
            <w:tcW w:w="1701" w:type="dxa"/>
          </w:tcPr>
          <w:p>
            <w:pPr>
              <w:spacing w:line="240" w:lineRule="auto" w:after="0"/>
            </w:pPr>
            <w:r/>
            <w:r>
              <w:rPr>
                <w:rFonts w:ascii="Times New Roman" w:hAnsi="Times New Roman" w:cs="Times New Roman" w:eastAsia="Times New Roman"/>
                <w:sz w:val="20"/>
              </w:rPr>
              <w:t>Included from the free Community edition</w:t>
            </w:r>
          </w:p>
        </w:tc>
        <w:tc>
          <w:tcPr>
            <w:tcW w:type="dxa" w:w="1701"/>
            <w:tcW w:w="1701" w:type="dxa"/>
          </w:tcPr>
          <w:p>
            <w:pPr>
              <w:spacing w:line="240" w:lineRule="auto" w:after="0"/>
            </w:pPr>
            <w:r/>
            <w:r>
              <w:rPr>
                <w:rFonts w:ascii="Times New Roman" w:hAnsi="Times New Roman" w:cs="Times New Roman" w:eastAsia="Times New Roman"/>
                <w:sz w:val="20"/>
              </w:rPr>
              <w:t>Traced plan, UML diagrams, page previews, human approval, shared design system</w:t>
            </w:r>
          </w:p>
        </w:tc>
        <w:tc>
          <w:tcPr>
            <w:tcW w:type="dxa" w:w="2948"/>
            <w:tcW w:w="2948" w:type="dxa"/>
          </w:tcPr>
          <w:p>
            <w:pPr>
              <w:spacing w:line="240" w:lineRule="auto" w:after="0"/>
            </w:pPr>
            <w:r/>
            <w:r>
              <w:rPr>
                <w:rFonts w:ascii="Times New Roman" w:hAnsi="Times New Roman" w:cs="Times New Roman" w:eastAsia="Times New Roman"/>
                <w:sz w:val="20"/>
              </w:rPr>
              <w:t>Slower than a single prompt; output still needs expert review</w:t>
            </w:r>
          </w:p>
        </w:tc>
      </w:tr>
    </w:tbl>
    <w:p>
      <w:pPr>
        <w:spacing w:after="0"/>
      </w:pPr>
    </w:p>
    <w:p>
      <w:pPr>
        <w:jc w:val="both"/>
      </w:pPr>
      <w:r>
        <w:rPr>
          <w:rFonts w:ascii="Times New Roman" w:hAnsi="Times New Roman" w:cs="Times New Roman" w:eastAsia="Times New Roman"/>
        </w:rPr>
        <w:t>The component's competitive position rests on the link between design and requirements. Prompt-to-UI tools produce attractive screens, but nobody can say which requirement a screen serves or which one it forgot. My component ties every plan item and every page to the identifiers of the approved specification, and checks the diagrams against UML rules before a person sees them. The shared design system adds a second advantage that grows with use: the more features an agency builds for a client, the more approved components are reused word for word.</w:t>
      </w:r>
    </w:p>
    <w:p>
      <w:pPr>
        <w:pStyle w:val="Heading2"/>
      </w:pPr>
      <w:r>
        <w:rPr>
          <w:rFonts w:ascii="Times New Roman" w:hAnsi="Times New Roman" w:cs="Times New Roman" w:eastAsia="Times New Roman"/>
        </w:rPr>
        <w:t>8.3 Business or sustainability model</w:t>
      </w:r>
    </w:p>
    <w:p>
      <w:pPr>
        <w:jc w:val="both"/>
      </w:pPr>
      <w:r>
        <w:rPr>
          <w:rFonts w:ascii="Times New Roman" w:hAnsi="Times New Roman" w:cs="Times New Roman" w:eastAsia="Times New Roman"/>
        </w:rPr>
        <w:t>The component fits within the open-core model and the packages proposed in the common report (Table 7.5): a free self-hosted Community edition, Team seats at LKR 6,000 per month, Agency seats at LKR 10,000 per month, and enterprise and academic licences. The Agency package in particular is built mostly on this component. Table 8.3 shows the parts of the model that depend directly on my work.</w:t>
      </w:r>
    </w:p>
    <w:p>
      <w:pPr>
        <w:pStyle w:val="Caption"/>
        <w:keepNext/>
        <w:jc w:val="center"/>
      </w:pPr>
      <w:r>
        <w:rPr>
          <w:rFonts w:ascii="Times New Roman" w:hAnsi="Times New Roman" w:cs="Times New Roman" w:eastAsia="Times New Roman"/>
        </w:rPr>
        <w:t>Table 8.3: Revenue elements that depend on this component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2154"/>
            <w:shd w:val="clear" w:color="auto" w:fill="D9D9D9"/>
            <w:tcW w:w="2154" w:type="dxa"/>
          </w:tcPr>
          <w:p>
            <w:pPr>
              <w:spacing w:line="240" w:lineRule="auto" w:after="0"/>
            </w:pPr>
            <w:r/>
            <w:r>
              <w:rPr>
                <w:rFonts w:ascii="Times New Roman" w:hAnsi="Times New Roman" w:cs="Times New Roman" w:eastAsia="Times New Roman"/>
                <w:b/>
                <w:sz w:val="20"/>
              </w:rPr>
              <w:t>Revenue element</w:t>
            </w:r>
          </w:p>
        </w:tc>
        <w:tc>
          <w:tcPr>
            <w:tcW w:type="dxa" w:w="2098"/>
            <w:shd w:val="clear" w:color="auto" w:fill="D9D9D9"/>
            <w:tcW w:w="2097" w:type="dxa"/>
          </w:tcPr>
          <w:p>
            <w:pPr>
              <w:spacing w:line="240" w:lineRule="auto" w:after="0"/>
            </w:pPr>
            <w:r/>
            <w:r>
              <w:rPr>
                <w:rFonts w:ascii="Times New Roman" w:hAnsi="Times New Roman" w:cs="Times New Roman" w:eastAsia="Times New Roman"/>
                <w:b/>
                <w:sz w:val="20"/>
              </w:rPr>
              <w:t>Price (common report)</w:t>
            </w:r>
          </w:p>
        </w:tc>
        <w:tc>
          <w:tcPr>
            <w:tcW w:type="dxa" w:w="3969"/>
            <w:shd w:val="clear" w:color="auto" w:fill="D9D9D9"/>
            <w:tcW w:w="3969" w:type="dxa"/>
          </w:tcPr>
          <w:p>
            <w:pPr>
              <w:spacing w:line="240" w:lineRule="auto" w:after="0"/>
            </w:pPr>
            <w:r/>
            <w:r>
              <w:rPr>
                <w:rFonts w:ascii="Times New Roman" w:hAnsi="Times New Roman" w:cs="Times New Roman" w:eastAsia="Times New Roman"/>
                <w:b/>
                <w:sz w:val="20"/>
              </w:rPr>
              <w:t>What this component contributes</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Agency package: a design system per client</w:t>
            </w:r>
          </w:p>
        </w:tc>
        <w:tc>
          <w:tcPr>
            <w:tcW w:type="dxa" w:w="2098"/>
            <w:tcW w:w="2097" w:type="dxa"/>
          </w:tcPr>
          <w:p>
            <w:pPr>
              <w:spacing w:line="240" w:lineRule="auto" w:after="0"/>
            </w:pPr>
            <w:r/>
            <w:r>
              <w:rPr>
                <w:rFonts w:ascii="Times New Roman" w:hAnsi="Times New Roman" w:cs="Times New Roman" w:eastAsia="Times New Roman"/>
                <w:sz w:val="20"/>
              </w:rPr>
              <w:t>LKR 10,000 per seat per month</w:t>
            </w:r>
          </w:p>
        </w:tc>
        <w:tc>
          <w:tcPr>
            <w:tcW w:type="dxa" w:w="3969"/>
            <w:tcW w:w="3969" w:type="dxa"/>
          </w:tcPr>
          <w:p>
            <w:pPr>
              <w:spacing w:line="240" w:lineRule="auto" w:after="0"/>
            </w:pPr>
            <w:r/>
            <w:r>
              <w:rPr>
                <w:rFonts w:ascii="Times New Roman" w:hAnsi="Times New Roman" w:cs="Times New Roman" w:eastAsia="Times New Roman"/>
                <w:sz w:val="20"/>
              </w:rPr>
              <w:t>The design system is already kept per project and changes only on approval, so one project per client gives each client its own look</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Agency package: client sign-off of previews</w:t>
            </w:r>
          </w:p>
        </w:tc>
        <w:tc>
          <w:tcPr>
            <w:tcW w:type="dxa" w:w="2098"/>
            <w:tcW w:w="2097" w:type="dxa"/>
          </w:tcPr>
          <w:p>
            <w:pPr>
              <w:spacing w:line="240" w:lineRule="auto" w:after="0"/>
            </w:pPr>
            <w:r/>
            <w:r>
              <w:rPr>
                <w:rFonts w:ascii="Times New Roman" w:hAnsi="Times New Roman" w:cs="Times New Roman" w:eastAsia="Times New Roman"/>
                <w:sz w:val="20"/>
              </w:rPr>
              <w:t>Included in Agency</w:t>
            </w:r>
          </w:p>
        </w:tc>
        <w:tc>
          <w:tcPr>
            <w:tcW w:type="dxa" w:w="3969"/>
            <w:tcW w:w="3969" w:type="dxa"/>
          </w:tcPr>
          <w:p>
            <w:pPr>
              <w:spacing w:line="240" w:lineRule="auto" w:after="0"/>
            </w:pPr>
            <w:r/>
            <w:r>
              <w:rPr>
                <w:rFonts w:ascii="Times New Roman" w:hAnsi="Times New Roman" w:cs="Times New Roman" w:eastAsia="Times New Roman"/>
                <w:sz w:val="20"/>
              </w:rPr>
              <w:t>Offline, link-safe page previews; page-scoped revision and version history already exist</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Team review features</w:t>
            </w:r>
          </w:p>
        </w:tc>
        <w:tc>
          <w:tcPr>
            <w:tcW w:type="dxa" w:w="2098"/>
            <w:tcW w:w="2097" w:type="dxa"/>
          </w:tcPr>
          <w:p>
            <w:pPr>
              <w:spacing w:line="240" w:lineRule="auto" w:after="0"/>
            </w:pPr>
            <w:r/>
            <w:r>
              <w:rPr>
                <w:rFonts w:ascii="Times New Roman" w:hAnsi="Times New Roman" w:cs="Times New Roman" w:eastAsia="Times New Roman"/>
                <w:sz w:val="20"/>
              </w:rPr>
              <w:t>LKR 6,000 per seat per month</w:t>
            </w:r>
          </w:p>
        </w:tc>
        <w:tc>
          <w:tcPr>
            <w:tcW w:type="dxa" w:w="3969"/>
            <w:tcW w:w="3969" w:type="dxa"/>
          </w:tcPr>
          <w:p>
            <w:pPr>
              <w:spacing w:line="240" w:lineRule="auto" w:after="0"/>
            </w:pPr>
            <w:r/>
            <w:r>
              <w:rPr>
                <w:rFonts w:ascii="Times New Roman" w:hAnsi="Times New Roman" w:cs="Times New Roman" w:eastAsia="Times New Roman"/>
                <w:sz w:val="20"/>
              </w:rPr>
              <w:t>Approval cascades, revision and version history for plans, diagrams and pages</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Setup services</w:t>
            </w:r>
          </w:p>
        </w:tc>
        <w:tc>
          <w:tcPr>
            <w:tcW w:type="dxa" w:w="2098"/>
            <w:tcW w:w="2097" w:type="dxa"/>
          </w:tcPr>
          <w:p>
            <w:pPr>
              <w:spacing w:line="240" w:lineRule="auto" w:after="0"/>
            </w:pPr>
            <w:r/>
            <w:r>
              <w:rPr>
                <w:rFonts w:ascii="Times New Roman" w:hAnsi="Times New Roman" w:cs="Times New Roman" w:eastAsia="Times New Roman"/>
                <w:sz w:val="20"/>
              </w:rPr>
              <w:t>LKR 75,000 per engagement</w:t>
            </w:r>
          </w:p>
        </w:tc>
        <w:tc>
          <w:tcPr>
            <w:tcW w:type="dxa" w:w="3969"/>
            <w:tcW w:w="3969" w:type="dxa"/>
          </w:tcPr>
          <w:p>
            <w:pPr>
              <w:spacing w:line="240" w:lineRule="auto" w:after="0"/>
            </w:pPr>
            <w:r/>
            <w:r>
              <w:rPr>
                <w:rFonts w:ascii="Times New Roman" w:hAnsi="Times New Roman" w:cs="Times New Roman" w:eastAsia="Times New Roman"/>
                <w:sz w:val="20"/>
              </w:rPr>
              <w:t>Building a client's existing brand into the design system before the first feature</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Academic licence</w:t>
            </w:r>
          </w:p>
        </w:tc>
        <w:tc>
          <w:tcPr>
            <w:tcW w:type="dxa" w:w="2098"/>
            <w:tcW w:w="2097" w:type="dxa"/>
          </w:tcPr>
          <w:p>
            <w:pPr>
              <w:spacing w:line="240" w:lineRule="auto" w:after="0"/>
            </w:pPr>
            <w:r/>
            <w:r>
              <w:rPr>
                <w:rFonts w:ascii="Times New Roman" w:hAnsi="Times New Roman" w:cs="Times New Roman" w:eastAsia="Times New Roman"/>
                <w:sz w:val="20"/>
              </w:rPr>
              <w:t>LKR 150,000 per year per campus</w:t>
            </w:r>
          </w:p>
        </w:tc>
        <w:tc>
          <w:tcPr>
            <w:tcW w:type="dxa" w:w="3969"/>
            <w:tcW w:w="3969" w:type="dxa"/>
          </w:tcPr>
          <w:p>
            <w:pPr>
              <w:spacing w:line="240" w:lineRule="auto" w:after="0"/>
            </w:pPr>
            <w:r/>
            <w:r>
              <w:rPr>
                <w:rFonts w:ascii="Times New Roman" w:hAnsi="Times New Roman" w:cs="Times New Roman" w:eastAsia="Times New Roman"/>
                <w:sz w:val="20"/>
              </w:rPr>
              <w:t>Traced plans and rule-checked UML diagrams for teaching software design</w:t>
            </w:r>
          </w:p>
        </w:tc>
      </w:tr>
    </w:tbl>
    <w:p>
      <w:pPr>
        <w:spacing w:after="0"/>
      </w:pPr>
    </w:p>
    <w:p>
      <w:pPr>
        <w:jc w:val="both"/>
      </w:pPr>
      <w:r>
        <w:rPr>
          <w:rFonts w:ascii="Times New Roman" w:hAnsi="Times New Roman" w:cs="Times New Roman" w:eastAsia="Times New Roman"/>
        </w:rPr>
        <w:t>The value to a buyer can be estimated roughly. If drafting the plan, three diagrams and two page mock-ups for a feature would take a developer half a day to a day by hand, that is about LKR 4,000 to 16,000 at typical Sri Lankan software engineering salaries. The component produces a first draft within one pipeline run, which costs nothing in API fees with the local model and at most about LKR 160 on a hosted model. Correcting a draft is faster than starting from nothing, so the Agency seat price is recovered after a few features a month. The half-day-to-a-day figure is an assumption, and the team's pilot is designed to measure it.</w:t>
      </w:r>
    </w:p>
    <w:p>
      <w:pPr>
        <w:jc w:val="both"/>
      </w:pPr>
      <w:r>
        <w:rPr>
          <w:rFonts w:ascii="Times New Roman" w:hAnsi="Times New Roman" w:cs="Times New Roman" w:eastAsia="Times New Roman"/>
        </w:rPr>
        <w:t>Technically, the component is feasible on a single machine with a local model, as the evaluation shows. The results in Chapter 6 also point to the work needed before a commercial release, listed in Table 8.4. A product sold on trust cannot ship with a check that silently does not run.</w:t>
      </w:r>
    </w:p>
    <w:p>
      <w:pPr>
        <w:pStyle w:val="Caption"/>
        <w:keepNext/>
        <w:jc w:val="center"/>
      </w:pPr>
      <w:r>
        <w:rPr>
          <w:rFonts w:ascii="Times New Roman" w:hAnsi="Times New Roman" w:cs="Times New Roman" w:eastAsia="Times New Roman"/>
        </w:rPr>
        <w:t>Table 8.4: Work needed before a commercial release</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2381"/>
            <w:shd w:val="clear" w:color="auto" w:fill="D9D9D9"/>
            <w:tcW w:w="2381" w:type="dxa"/>
          </w:tcPr>
          <w:p>
            <w:pPr>
              <w:spacing w:line="240" w:lineRule="auto" w:after="0"/>
            </w:pPr>
            <w:r/>
            <w:r>
              <w:rPr>
                <w:rFonts w:ascii="Times New Roman" w:hAnsi="Times New Roman" w:cs="Times New Roman" w:eastAsia="Times New Roman"/>
                <w:b/>
                <w:sz w:val="20"/>
              </w:rPr>
              <w:t>Issue found</w:t>
            </w:r>
          </w:p>
        </w:tc>
        <w:tc>
          <w:tcPr>
            <w:tcW w:type="dxa" w:w="2041"/>
            <w:shd w:val="clear" w:color="auto" w:fill="D9D9D9"/>
            <w:tcW w:w="2041" w:type="dxa"/>
          </w:tcPr>
          <w:p>
            <w:pPr>
              <w:spacing w:line="240" w:lineRule="auto" w:after="0"/>
            </w:pPr>
            <w:r/>
            <w:r>
              <w:rPr>
                <w:rFonts w:ascii="Times New Roman" w:hAnsi="Times New Roman" w:cs="Times New Roman" w:eastAsia="Times New Roman"/>
                <w:b/>
                <w:sz w:val="20"/>
              </w:rPr>
              <w:t>Evidence</w:t>
            </w:r>
          </w:p>
        </w:tc>
        <w:tc>
          <w:tcPr>
            <w:tcW w:type="dxa" w:w="3798"/>
            <w:shd w:val="clear" w:color="auto" w:fill="D9D9D9"/>
            <w:tcW w:w="3798" w:type="dxa"/>
          </w:tcPr>
          <w:p>
            <w:pPr>
              <w:spacing w:line="240" w:lineRule="auto" w:after="0"/>
            </w:pPr>
            <w:r/>
            <w:r>
              <w:rPr>
                <w:rFonts w:ascii="Times New Roman" w:hAnsi="Times New Roman" w:cs="Times New Roman" w:eastAsia="Times New Roman"/>
                <w:b/>
                <w:sz w:val="20"/>
              </w:rPr>
              <w:t>Change needed</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The fallback plan looked complete but held a broken data entity</w:t>
            </w:r>
          </w:p>
        </w:tc>
        <w:tc>
          <w:tcPr>
            <w:tcW w:type="dxa" w:w="2041"/>
            <w:tcW w:w="2041" w:type="dxa"/>
          </w:tcPr>
          <w:p>
            <w:pPr>
              <w:spacing w:line="240" w:lineRule="auto" w:after="0"/>
            </w:pPr>
            <w:r/>
            <w:r>
              <w:rPr>
                <w:rFonts w:ascii="Times New Roman" w:hAnsi="Times New Roman" w:cs="Times New Roman" w:eastAsia="Times New Roman"/>
                <w:sz w:val="20"/>
              </w:rPr>
              <w:t>Tables 6.2 and 6.3</w:t>
            </w:r>
          </w:p>
        </w:tc>
        <w:tc>
          <w:tcPr>
            <w:tcW w:type="dxa" w:w="3798"/>
            <w:tcW w:w="3798" w:type="dxa"/>
          </w:tcPr>
          <w:p>
            <w:pPr>
              <w:spacing w:line="240" w:lineRule="auto" w:after="0"/>
            </w:pPr>
            <w:r/>
            <w:r>
              <w:rPr>
                <w:rFonts w:ascii="Times New Roman" w:hAnsi="Times New Roman" w:cs="Times New Roman" w:eastAsia="Times New Roman"/>
                <w:sz w:val="20"/>
              </w:rPr>
              <w:t>The fallback announces itself to the reviewer, and data-model checks look at field names and types</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A coverage check never ran on real data</w:t>
            </w:r>
          </w:p>
        </w:tc>
        <w:tc>
          <w:tcPr>
            <w:tcW w:type="dxa" w:w="2041"/>
            <w:tcW w:w="2041" w:type="dxa"/>
          </w:tcPr>
          <w:p>
            <w:pPr>
              <w:spacing w:line="240" w:lineRule="auto" w:after="0"/>
            </w:pPr>
            <w:r/>
            <w:r>
              <w:rPr>
                <w:rFonts w:ascii="Times New Roman" w:hAnsi="Times New Roman" w:cs="Times New Roman" w:eastAsia="Times New Roman"/>
                <w:sz w:val="20"/>
              </w:rPr>
              <w:t>Table 6.5</w:t>
            </w:r>
          </w:p>
        </w:tc>
        <w:tc>
          <w:tcPr>
            <w:tcW w:type="dxa" w:w="3798"/>
            <w:tcW w:w="3798" w:type="dxa"/>
          </w:tcPr>
          <w:p>
            <w:pPr>
              <w:spacing w:line="240" w:lineRule="auto" w:after="0"/>
            </w:pPr>
            <w:r/>
            <w:r>
              <w:rPr>
                <w:rFonts w:ascii="Times New Roman" w:hAnsi="Times New Roman" w:cs="Times New Roman" w:eastAsia="Times New Roman"/>
                <w:sz w:val="20"/>
              </w:rPr>
              <w:t>Test every check against real output from the Requirement Agent, not only fixtures</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Page routes disagreed with the architecture plan</w:t>
            </w:r>
          </w:p>
        </w:tc>
        <w:tc>
          <w:tcPr>
            <w:tcW w:type="dxa" w:w="2041"/>
            <w:tcW w:w="2041" w:type="dxa"/>
          </w:tcPr>
          <w:p>
            <w:pPr>
              <w:spacing w:line="240" w:lineRule="auto" w:after="0"/>
            </w:pPr>
            <w:r/>
            <w:r>
              <w:rPr>
                <w:rFonts w:ascii="Times New Roman" w:hAnsi="Times New Roman" w:cs="Times New Roman" w:eastAsia="Times New Roman"/>
                <w:sz w:val="20"/>
              </w:rPr>
              <w:t>Table 6.5</w:t>
            </w:r>
          </w:p>
        </w:tc>
        <w:tc>
          <w:tcPr>
            <w:tcW w:type="dxa" w:w="3798"/>
            <w:tcW w:w="3798" w:type="dxa"/>
          </w:tcPr>
          <w:p>
            <w:pPr>
              <w:spacing w:line="240" w:lineRule="auto" w:after="0"/>
            </w:pPr>
            <w:r/>
            <w:r>
              <w:rPr>
                <w:rFonts w:ascii="Times New Roman" w:hAnsi="Times New Roman" w:cs="Times New Roman" w:eastAsia="Times New Roman"/>
                <w:sz w:val="20"/>
              </w:rPr>
              <w:t>A check that compares the UI/UX metadata with the plan's frontend pages</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Errors of meaning in diagrams passed the validators</w:t>
            </w:r>
          </w:p>
        </w:tc>
        <w:tc>
          <w:tcPr>
            <w:tcW w:type="dxa" w:w="2041"/>
            <w:tcW w:w="2041" w:type="dxa"/>
          </w:tcPr>
          <w:p>
            <w:pPr>
              <w:spacing w:line="240" w:lineRule="auto" w:after="0"/>
            </w:pPr>
            <w:r/>
            <w:r>
              <w:rPr>
                <w:rFonts w:ascii="Times New Roman" w:hAnsi="Times New Roman" w:cs="Times New Roman" w:eastAsia="Times New Roman"/>
                <w:sz w:val="20"/>
              </w:rPr>
              <w:t>Table 6.4</w:t>
            </w:r>
          </w:p>
        </w:tc>
        <w:tc>
          <w:tcPr>
            <w:tcW w:type="dxa" w:w="3798"/>
            <w:tcW w:w="3798" w:type="dxa"/>
          </w:tcPr>
          <w:p>
            <w:pPr>
              <w:spacing w:line="240" w:lineRule="auto" w:after="0"/>
            </w:pPr>
            <w:r/>
            <w:r>
              <w:rPr>
                <w:rFonts w:ascii="Times New Roman" w:hAnsi="Times New Roman" w:cs="Times New Roman" w:eastAsia="Times New Roman"/>
                <w:sz w:val="20"/>
              </w:rPr>
              <w:t>Present checks as help for the reviewer; route fallback diagrams to closer review</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No architect or designer outside the team has reviewed the outputs</w:t>
            </w:r>
          </w:p>
        </w:tc>
        <w:tc>
          <w:tcPr>
            <w:tcW w:type="dxa" w:w="2041"/>
            <w:tcW w:w="2041" w:type="dxa"/>
          </w:tcPr>
          <w:p>
            <w:pPr>
              <w:spacing w:line="240" w:lineRule="auto" w:after="0"/>
            </w:pPr>
            <w:r/>
            <w:r>
              <w:rPr>
                <w:rFonts w:ascii="Times New Roman" w:hAnsi="Times New Roman" w:cs="Times New Roman" w:eastAsia="Times New Roman"/>
                <w:sz w:val="20"/>
              </w:rPr>
              <w:t>Section 6.3</w:t>
            </w:r>
          </w:p>
        </w:tc>
        <w:tc>
          <w:tcPr>
            <w:tcW w:type="dxa" w:w="3798"/>
            <w:tcW w:w="3798" w:type="dxa"/>
          </w:tcPr>
          <w:p>
            <w:pPr>
              <w:spacing w:line="240" w:lineRule="auto" w:after="0"/>
            </w:pPr>
            <w:r/>
            <w:r>
              <w:rPr>
                <w:rFonts w:ascii="Times New Roman" w:hAnsi="Times New Roman" w:cs="Times New Roman" w:eastAsia="Times New Roman"/>
                <w:sz w:val="20"/>
              </w:rPr>
              <w:t>A pilot with one agency, measuring how often plans, diagrams and pages are accepted, corrected or rejected</w:t>
            </w:r>
          </w:p>
        </w:tc>
      </w:tr>
    </w:tbl>
    <w:p>
      <w:pPr>
        <w:spacing w:after="0"/>
      </w:pPr>
    </w:p>
    <w:p>
      <w:pPr>
        <w:pStyle w:val="Heading2"/>
      </w:pPr>
      <w:r>
        <w:rPr>
          <w:rFonts w:ascii="Times New Roman" w:hAnsi="Times New Roman" w:cs="Times New Roman" w:eastAsia="Times New Roman"/>
        </w:rPr>
        <w:t>8.4 Scalability intellectual property and compliance</w:t>
      </w:r>
    </w:p>
    <w:p>
      <w:pPr>
        <w:jc w:val="both"/>
      </w:pPr>
      <w:r>
        <w:rPr>
          <w:rFonts w:ascii="Times New Roman" w:hAnsi="Times New Roman" w:cs="Times New Roman" w:eastAsia="Times New Roman"/>
        </w:rPr>
        <w:t>Scalability. The diagram and preview steps are the heaviest parts of my component, because they run PlantUML with Java and Graphviz and a headless Chromium browser through Playwright. In a hosted service these would run in the per-run sandbox or in a small pool of rendering workers, so that many features can be rendered at once. The validators and modelers contain no feature-specific rules, so new features and new clients need no new code. The implementation plan is tied to the Coder Agent's file conventions, so supporting another generated stack would mean changing the plan builder and its tests together.</w:t>
      </w:r>
    </w:p>
    <w:p>
      <w:pPr>
        <w:jc w:val="both"/>
      </w:pPr>
      <w:r>
        <w:rPr>
          <w:rFonts w:ascii="Times New Roman" w:hAnsi="Times New Roman" w:cs="Times New Roman" w:eastAsia="Times New Roman"/>
        </w:rPr>
        <w:t>Intellectual property. The plans, diagrams and page designs produced for a customer belong to that customer, and so does each client's design system; one client's components must never be reused in another client's project, which the current rule of reusing approved components from the same project only already ensures. The prompts, modelers and validators remain the team's property. PlantUML, Graphviz, Playwright, Chromium and Tailwind CSS are all third-party projects, so their licences must be reviewed before the component is sold, together with the university's intellectual property policy for the code itself.</w:t>
      </w:r>
    </w:p>
    <w:p>
      <w:pPr>
        <w:jc w:val="both"/>
      </w:pPr>
      <w:r>
        <w:rPr>
          <w:rFonts w:ascii="Times New Roman" w:hAnsi="Times New Roman" w:cs="Times New Roman" w:eastAsia="Times New Roman"/>
        </w:rPr>
        <w:t>Compliance. Sri Lanka's Personal Data Protection Act, No. 9 of 2022, takes effect on 1 January 2027 [22]. The component affects compliance in two ways. First, page previews are filled with realistic example content, and that content must stay invented: real customer names, addresses or order data must never be used in a preview that may be sent to a client. Second, the screens of a generated store are where personal data is collected, so a future version should add the elements the Act implies, such as a privacy notice and consent wording, whenever the specification contains personal data requirements. Accessibility is a related professional responsibility; the current checks do not test it, and adding a basic accessibility check to the page previews would be a natural next step.</w:t>
      </w:r>
    </w:p>
    <w:p>
      <w:pPr>
        <w:pStyle w:val="Heading2"/>
      </w:pPr>
      <w:r>
        <w:rPr>
          <w:rFonts w:ascii="Times New Roman" w:hAnsi="Times New Roman" w:cs="Times New Roman" w:eastAsia="Times New Roman"/>
        </w:rPr>
        <w:t>8.5 Contribution to the Sustainable Development Goals</w:t>
      </w:r>
    </w:p>
    <w:p>
      <w:pPr>
        <w:jc w:val="both"/>
      </w:pPr>
      <w:r>
        <w:rPr>
          <w:rFonts w:ascii="Times New Roman" w:hAnsi="Times New Roman" w:cs="Times New Roman" w:eastAsia="Times New Roman"/>
        </w:rPr>
        <w:t>The common report links AutoForge to SDG 9 (Industry, Innovation and Infrastructure) and SDG 8 (Decent Work and Economic Growth). My component's contribution to SDG 9, and in particular target 9.5 on upgrading technological capabilities, is a way to bring architecture and interface design, which small teams often skip, into their everyday process at low cost, using a model that can run locally. Its contribution to SDG 8, targets 8.2 and 8.3, would come through small agencies, which could show clients screens and designs earlier and spend less time on rework.</w:t>
      </w:r>
    </w:p>
    <w:p>
      <w:pPr>
        <w:jc w:val="both"/>
      </w:pPr>
      <w:r>
        <w:rPr>
          <w:rFonts w:ascii="Times New Roman" w:hAnsi="Times New Roman" w:cs="Times New Roman" w:eastAsia="Times New Roman"/>
        </w:rPr>
        <w:t>These contributions are potential rather than demonstrated. There are also possible negative effects. A design that passes every check can still be wrong, and reviewers may come to trust the checks too much; junior developers may also practise design less if a first draft always appears. The component should therefore present its checks as help for the reviewer rather than a guarantee, and keep the reviewer's corrections visible in the version history, where they also serve as a way to learn. A responsible next step would be a pilot with a small agency, measuring how often their developers accept, correct or reject the generated plans, diagrams and pages, and how much review time the stage saves or costs.</w:t>
      </w:r>
    </w:p>
    <w:p>
      <w:pPr/>
      <w:r>
        <w:br w:type="page"/>
      </w:r>
    </w:p>
    <w:p>
      <w:pPr>
        <w:pStyle w:val="Heading1"/>
      </w:pPr>
      <w:r>
        <w:rPr>
          <w:rFonts w:ascii="Times New Roman" w:hAnsi="Times New Roman" w:cs="Times New Roman" w:eastAsia="Times New Roman"/>
        </w:rPr>
        <w:t>REFERENCES TO ADD</w:t>
      </w:r>
    </w:p>
    <w:p>
      <w:pPr/>
      <w:r>
        <w:rPr>
          <w:rFonts w:ascii="Times New Roman" w:hAnsi="Times New Roman" w:cs="Times New Roman" w:eastAsia="Times New Roman"/>
        </w:rPr>
        <w:t>Append these entries to the end of the thesis reference list. The numbers continue from [19], the last entry in the current list.</w:t>
      </w:r>
    </w:p>
    <w:p>
      <w:pPr>
        <w:spacing w:line="240" w:lineRule="auto" w:after="240"/>
        <w:ind w:left="567" w:hanging="567"/>
      </w:pPr>
      <w:r>
        <w:rPr>
          <w:rFonts w:ascii="Times New Roman" w:hAnsi="Times New Roman" w:cs="Times New Roman" w:eastAsia="Times New Roman"/>
        </w:rPr>
        <w:t>[20] Stack Overflow, “2025 Developer Survey: AI,” 2025. [Online]. Available: https://survey.stackoverflow.co/2025/ai (accessed Oct. 8, 2026).</w:t>
      </w:r>
    </w:p>
    <w:p>
      <w:pPr>
        <w:spacing w:line="240" w:lineRule="auto" w:after="240"/>
        <w:ind w:left="567" w:hanging="567"/>
      </w:pPr>
      <w:r>
        <w:rPr>
          <w:rFonts w:ascii="Times New Roman" w:hAnsi="Times New Roman" w:cs="Times New Roman" w:eastAsia="Times New Roman"/>
        </w:rPr>
        <w:t>[21] “SLASSCOM reflects on a year of creating opportunities, strengthening Sri Lanka’s knowledge and innovation industry,” Daily FT, Jul. 15, 2026. [Online]. Available: https://www.ft.lk/it-telecom-tech/SLASSCOM-reflects-on-a-year-of-creating-opportunities-strengthening-Sri-Lanka-s-knowledge-and-innovation-industry/50-794672 (accessed Oct. 8, 2026).</w:t>
      </w:r>
    </w:p>
    <w:p>
      <w:pPr>
        <w:spacing w:line="240" w:lineRule="auto" w:after="240"/>
        <w:ind w:left="567" w:hanging="567"/>
      </w:pPr>
      <w:r>
        <w:rPr>
          <w:rFonts w:ascii="Times New Roman" w:hAnsi="Times New Roman" w:cs="Times New Roman" w:eastAsia="Times New Roman"/>
        </w:rPr>
        <w:t>[22] “Data protection compliance regime takes effect on 1 Jan. 2027,” Daily FT, 2026. [Online]. Available: https://www.ft.lk/front-page/Data-protection-compliance-regime-takes-effect-on-1-Jan-2027/44-795776 (accessed Oct. 8, 2026).</w:t>
      </w:r>
    </w:p>
    <w:p>
      <w:pPr>
        <w:spacing w:line="240" w:lineRule="auto" w:after="240"/>
        <w:ind w:left="567" w:hanging="567"/>
      </w:pPr>
      <w:r>
        <w:rPr>
          <w:rFonts w:ascii="Times New Roman" w:hAnsi="Times New Roman" w:cs="Times New Roman" w:eastAsia="Times New Roman"/>
        </w:rPr>
        <w:t>[23] Lovable, “Subscription plans.” [Online]. Available: https://docs.lovable.dev/introduction/subscription-plans (accessed Oct. 8, 2026).</w:t>
      </w:r>
    </w:p>
    <w:p>
      <w:pPr>
        <w:spacing w:line="240" w:lineRule="auto" w:after="240"/>
        <w:ind w:left="567" w:hanging="567"/>
      </w:pPr>
      <w:r>
        <w:rPr>
          <w:rFonts w:ascii="Times New Roman" w:hAnsi="Times New Roman" w:cs="Times New Roman" w:eastAsia="Times New Roman"/>
        </w:rPr>
        <w:t>[24] StackBlitz, “Bolt pricing.” [Online]. Available: https://bolt.new/pricing (accessed Oct. 8, 2026).</w:t>
      </w:r>
    </w:p>
    <w:p>
      <w:pPr>
        <w:spacing w:line="240" w:lineRule="auto" w:after="240"/>
        <w:ind w:left="567" w:hanging="567"/>
      </w:pPr>
      <w:r>
        <w:rPr>
          <w:rFonts w:ascii="Times New Roman" w:hAnsi="Times New Roman" w:cs="Times New Roman" w:eastAsia="Times New Roman"/>
        </w:rPr>
        <w:t>[25] “ChatGPT pricing in 2026: Free, Go, Plus, Pro, Business and Enterprise,” GPTPrompts.ai. [Online]. Available: https://gptprompts.ai/ai-pricing/chatgpt-pricing (accessed Oct. 8, 2026).</w:t>
      </w:r>
    </w:p>
    <w:p>
      <w:pPr>
        <w:spacing w:line="240" w:lineRule="auto" w:after="240"/>
        <w:ind w:left="567" w:hanging="567"/>
      </w:pPr>
      <w:r>
        <w:rPr>
          <w:rFonts w:ascii="Times New Roman" w:hAnsi="Times New Roman" w:cs="Times New Roman" w:eastAsia="Times New Roman"/>
        </w:rPr>
        <w:t>[26] Anthropic, “Claude pricing.” [Online]. Available: https://claude.com/pricing (accessed Oct. 8, 2026).</w:t>
      </w:r>
    </w:p>
    <w:p>
      <w:pPr>
        <w:spacing w:line="240" w:lineRule="auto" w:after="240"/>
        <w:ind w:left="567" w:hanging="567"/>
      </w:pPr>
      <w:r>
        <w:rPr>
          <w:rFonts w:ascii="Times New Roman" w:hAnsi="Times New Roman" w:cs="Times New Roman" w:eastAsia="Times New Roman"/>
        </w:rPr>
        <w:t>[27] Exchange-Rates.org, “USD to LKR: Convert US Dollars to Sri Lanka Rupees.” [Online]. Available: https://www.exchange-rates.org/converter/usd-lkr (accessed Oct. 7, 2026).</w:t>
      </w:r>
    </w:p>
    <w:sectPr w:rsidR="00FC693F" w:rsidRPr="0006063C" w:rsidSect="00034616">
      <w:pgSz w:w="11906" w:h="16838"/>
      <w:pgMar w:top="1417" w:right="1417"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60" w:after="80"/>
    </w:pPr>
    <w:rPr>
      <w:rFonts w:ascii="Times New Roman" w:hAnsi="Times New Roman" w:cs="Times New Roman" w:eastAsia="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