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2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«Первичный графический анализ статистических данных»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</w:t>
      </w:r>
      <w:r>
        <w:rPr>
          <w:rFonts w:cs="Times New Roman" w:ascii="Times New Roman" w:hAnsi="Times New Roman"/>
          <w:sz w:val="28"/>
          <w:szCs w:val="28"/>
        </w:rPr>
        <w:t>: Динамика изменения оценок по теории вероятности и математической статистики за два года.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Николай Окуньков, 18ПИ-2.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Создание статистического ряда и изучение графических методов первичного анализа статистических данных с использованием встроенных в базовую версию пакета R функций.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Теоретическая часть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Одномерное непрерывное равномерное распределение</w:t>
      </w:r>
      <w:r>
        <w:rPr>
          <w:rFonts w:cs="Times New Roman" w:ascii="Times New Roman" w:hAnsi="Times New Roman"/>
          <w:sz w:val="28"/>
          <w:szCs w:val="28"/>
        </w:rPr>
        <w:t xml:space="preserve"> –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1916430</wp:posOffset>
            </wp:positionH>
            <wp:positionV relativeFrom="paragraph">
              <wp:posOffset>636270</wp:posOffset>
            </wp:positionV>
            <wp:extent cx="2000250" cy="6191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Н</w:t>
      </w: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ормальное распределение (распределение Гаусса)</w:t>
      </w:r>
      <w:r>
        <w:rPr>
          <w:rFonts w:cs="Times New Roman" w:ascii="Times New Roman" w:hAnsi="Times New Roman"/>
          <w:sz w:val="28"/>
          <w:szCs w:val="28"/>
        </w:rPr>
        <w:t xml:space="preserve"> – распределение вероятностей, которое в одномерном случае задаётся функцией плотности вероятности, совпадающей с функцией Гаусса: </w:t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>
          <w:rFonts w:cs="Times New Roman" w:ascii="Times New Roman" w:hAnsi="Times New Roman"/>
          <w:b/>
          <w:i/>
          <w:sz w:val="28"/>
          <w:szCs w:val="28"/>
        </w:rPr>
        <w:t>σ^2</w:t>
      </w:r>
      <w:r>
        <w:rPr>
          <w:rFonts w:cs="Times New Roman" w:ascii="Times New Roman" w:hAnsi="Times New Roman"/>
          <w:sz w:val="28"/>
          <w:szCs w:val="28"/>
        </w:rPr>
        <w:t xml:space="preserve"> – стандартное отклонение, </w:t>
      </w:r>
      <w:r>
        <w:rPr>
          <w:rFonts w:cs="Times New Roman" w:ascii="Times New Roman" w:hAnsi="Times New Roman"/>
          <w:b/>
          <w:i/>
          <w:sz w:val="28"/>
          <w:szCs w:val="28"/>
        </w:rPr>
        <w:t>σ</w:t>
      </w:r>
      <w:r>
        <w:rPr>
          <w:rFonts w:cs="Times New Roman" w:ascii="Times New Roman" w:hAnsi="Times New Roman"/>
          <w:sz w:val="28"/>
          <w:szCs w:val="28"/>
        </w:rPr>
        <w:t xml:space="preserve"> — среднеквадратическое отклонение распределения, </w:t>
      </w:r>
      <w:r>
        <w:rPr>
          <w:rFonts w:cs="Times New Roman" w:ascii="Times New Roman" w:hAnsi="Times New Roman"/>
          <w:b/>
          <w:i/>
          <w:sz w:val="28"/>
          <w:szCs w:val="28"/>
        </w:rPr>
        <w:t>μ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— математическое ожидание (среднее значение), медиана и мода распределения.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1703070</wp:posOffset>
                </wp:positionH>
                <wp:positionV relativeFrom="margin">
                  <wp:posOffset>5414010</wp:posOffset>
                </wp:positionV>
                <wp:extent cx="1981835" cy="82804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rcRect l="0" t="17876" r="8407" b="9090"/>
                        <a:stretch/>
                      </pic:blipFill>
                      <pic:spPr>
                        <a:xfrm>
                          <a:off x="0" y="0"/>
                          <a:ext cx="1981080" cy="82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34.1pt;margin-top:426.3pt;width:155.95pt;height:65.1pt;mso-position-vertical-relative:margin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усть X1, ..., Xn – выборка из распределения вероятности, определенная на некотором вероятностном пространстве. Тогда её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выборочным средним</w:t>
      </w:r>
      <w:r>
        <w:rPr>
          <w:rFonts w:cs="Times New Roman" w:ascii="Times New Roman" w:hAnsi="Times New Roman"/>
          <w:sz w:val="28"/>
          <w:szCs w:val="28"/>
        </w:rPr>
        <w:t xml:space="preserve"> называется случайная величина: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где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x(i)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элемент выборки под номером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i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i/>
          <w:sz w:val="28"/>
          <w:szCs w:val="28"/>
        </w:rPr>
        <w:t>m(i)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частота выборки данного элемента, а </w:t>
      </w:r>
      <w:r>
        <w:rPr>
          <w:rFonts w:cs="Times New Roman" w:ascii="Times New Roman" w:hAnsi="Times New Roman"/>
          <w:b/>
          <w:bCs/>
          <w:sz w:val="28"/>
          <w:szCs w:val="28"/>
        </w:rPr>
        <w:t>n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общий объем выборки.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Относительная частота случайного события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отношение числа появления данного события к общему числу проведенных одинаковых испытаний, в каждом из которых могло появиться или не появиться данное событие.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Математическое ожидание</w:t>
      </w:r>
      <w:r>
        <w:rPr>
          <w:rFonts w:cs="Times New Roman" w:ascii="Times New Roman" w:hAnsi="Times New Roman"/>
          <w:sz w:val="28"/>
          <w:szCs w:val="28"/>
        </w:rPr>
        <w:t xml:space="preserve"> – среднее (взвешенное по вероятностям возможных значений) значение случайной величины. Для непрерывных случайных величин находится по следующей формуле: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1920240</wp:posOffset>
            </wp:positionH>
            <wp:positionV relativeFrom="paragraph">
              <wp:posOffset>16510</wp:posOffset>
            </wp:positionV>
            <wp:extent cx="1876425" cy="762000"/>
            <wp:effectExtent l="0" t="0" r="0" b="0"/>
            <wp:wrapNone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Дисперсия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мера разброса значений случайной величины относительно её математического ожидания. Находится по формуле: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1778000</wp:posOffset>
            </wp:positionH>
            <wp:positionV relativeFrom="paragraph">
              <wp:posOffset>49530</wp:posOffset>
            </wp:positionV>
            <wp:extent cx="2324100" cy="285750"/>
            <wp:effectExtent l="0" t="0" r="0" b="0"/>
            <wp:wrapNone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2244090</wp:posOffset>
            </wp:positionH>
            <wp:positionV relativeFrom="paragraph">
              <wp:posOffset>621030</wp:posOffset>
            </wp:positionV>
            <wp:extent cx="1028700" cy="4191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С</w:t>
      </w: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реднеквадратическое отклонение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показатель рассеивания значений случайной величины относительно её математического ожидания. Находится по формуле: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Гистограмма</w:t>
      </w:r>
      <w:r>
        <w:rPr>
          <w:rFonts w:cs="Times New Roman" w:ascii="Times New Roman" w:hAnsi="Times New Roman"/>
          <w:sz w:val="28"/>
          <w:szCs w:val="28"/>
        </w:rPr>
        <w:t xml:space="preserve"> – наглядное представление функции плотности вероятности некоторой случайной величины, построенное по выборке.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Коробка с усами (диаграмма размаха</w:t>
      </w:r>
      <w:r>
        <w:rPr>
          <w:rFonts w:cs="Times New Roman" w:ascii="Times New Roman" w:hAnsi="Times New Roman"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график, использующийся в описательной статистике, компактно изображающий одномерное распределение вероятностей. Границами ящика служат первый и третий квартили (25-й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и 75-й процентили соответственно), линия в середине ящика — медиана (50-й процентиль). Концы усов — края статистически значимой выборки (без выбросов), минимальное и максимальное наблюдаемые значения данных по выборке (в этом случае выбросы отсутствуют).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u w:val="single"/>
        </w:rPr>
        <w:t>Квантиль</w:t>
      </w:r>
      <w:r>
        <w:rPr>
          <w:rFonts w:cs="Times New Roman" w:ascii="Times New Roman" w:hAnsi="Times New Roman"/>
          <w:sz w:val="28"/>
          <w:szCs w:val="28"/>
        </w:rPr>
        <w:t xml:space="preserve"> – значение, которое заданная случайная величина не превышает с фиксированной вероятностью. Если вероятность задана в процентах, то квантиль называется процентилем или перцентилем.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0,25 – квантиль называется первым или нижним квартилем;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0,50 – квантиль называется медианой или вторым квартилем;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0,75 – квантиль называется третьим или верхним квартилем.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highlight w:val="white"/>
          <w:u w:val="single"/>
        </w:rPr>
        <w:t>Процентиль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это процентная доля элементов из выборки стандартизации, первичный результат которых ниже данного первичного показателя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Ход работы: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571500</wp:posOffset>
            </wp:positionH>
            <wp:positionV relativeFrom="paragraph">
              <wp:posOffset>205105</wp:posOffset>
            </wp:positionV>
            <wp:extent cx="5162550" cy="8477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З</w:t>
      </w: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адание 1: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Для решения задачи была использована функция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R rnorm()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и собственная функция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enter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NA()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rnorm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(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n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mean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= , 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sd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= )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highlight w:val="white"/>
        </w:rPr>
        <w:t>функция для создания выборки, используя нормальное распределение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>(Параметры: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n </w:t>
      </w:r>
      <w:r>
        <w:rPr>
          <w:rFonts w:cs="Times New Roman" w:ascii="Times New Roman" w:hAnsi="Times New Roman"/>
          <w:sz w:val="28"/>
          <w:szCs w:val="28"/>
          <w:highlight w:val="white"/>
        </w:rPr>
        <w:t>– количество элементов выборки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mean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–математическое ожидание;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sd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среднеквадратическое отклонение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enter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NA(arr)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нужна для замены всех отрицательных значений и значений, превышающих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highlight w:val="white"/>
        </w:rPr>
        <w:t>100 на 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arr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выборка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3724275" cy="1219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Код: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91000" cy="269557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1080135</wp:posOffset>
            </wp:positionH>
            <wp:positionV relativeFrom="paragraph">
              <wp:posOffset>62230</wp:posOffset>
            </wp:positionV>
            <wp:extent cx="4759325" cy="6325235"/>
            <wp:effectExtent l="0" t="0" r="0" b="0"/>
            <wp:wrapNone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Результат: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Задание 2:</w:t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</wp:posOffset>
            </wp:positionH>
            <wp:positionV relativeFrom="paragraph">
              <wp:posOffset>92710</wp:posOffset>
            </wp:positionV>
            <wp:extent cx="4676775" cy="1638300"/>
            <wp:effectExtent l="0" t="0" r="0" b="0"/>
            <wp:wrapSquare wrapText="bothSides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2276475</wp:posOffset>
            </wp:positionH>
            <wp:positionV relativeFrom="paragraph">
              <wp:posOffset>23495</wp:posOffset>
            </wp:positionV>
            <wp:extent cx="1714500" cy="1085850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2326005</wp:posOffset>
            </wp:positionH>
            <wp:positionV relativeFrom="paragraph">
              <wp:posOffset>106045</wp:posOffset>
            </wp:positionV>
            <wp:extent cx="1514475" cy="1123950"/>
            <wp:effectExtent l="0" t="0" r="0" b="0"/>
            <wp:wrapSquare wrapText="bothSides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Для решения задачи были использованы собственные функции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t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o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5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t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oEU()</w:t>
      </w:r>
      <w:r>
        <w:rPr>
          <w:rFonts w:cs="Times New Roman" w:ascii="Times New Roman" w:hAnsi="Times New Roman"/>
          <w:sz w:val="28"/>
          <w:szCs w:val="28"/>
          <w:highlight w:val="white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t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o5(arr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ay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переводит оценки из 100-бальной системы в 5-бальную посредством разбиения выборки с помощью функции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cut()</w:t>
      </w:r>
      <w:r>
        <w:rPr>
          <w:rFonts w:cs="Times New Roman" w:ascii="Times New Roman" w:hAnsi="Times New Roman"/>
          <w:sz w:val="28"/>
          <w:szCs w:val="28"/>
          <w:highlight w:val="white"/>
        </w:rPr>
        <w:t>, которая получает на вход вектор и делит их на равные или заранее заданные интервалы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arr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ay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выборка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3962400" cy="125730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t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oEU(arr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ay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переводит оценки из 100-бальной системы в 7-бальную посредством разбиения выборки с помощью функции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cut()</w:t>
      </w:r>
      <w:r>
        <w:rPr>
          <w:rFonts w:cs="Times New Roman" w:ascii="Times New Roman" w:hAnsi="Times New Roman"/>
          <w:sz w:val="28"/>
          <w:szCs w:val="28"/>
          <w:highlight w:val="white"/>
        </w:rPr>
        <w:t>, которая получает на вход вектор и делит их на равные или заранее заданные интервалы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arr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ay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sz w:val="28"/>
          <w:szCs w:val="28"/>
          <w:highlight w:val="white"/>
        </w:rPr>
        <w:t>— выборка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-11430</wp:posOffset>
            </wp:positionH>
            <wp:positionV relativeFrom="paragraph">
              <wp:posOffset>635</wp:posOffset>
            </wp:positionV>
            <wp:extent cx="4962525" cy="1314450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Для проверки корректности работы этих функций я использовал функцию R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table()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table(x)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возвращает таблицу с частотами встречаемости каждого значения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набор значений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Код: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-11430</wp:posOffset>
            </wp:positionH>
            <wp:positionV relativeFrom="paragraph">
              <wp:posOffset>635</wp:posOffset>
            </wp:positionV>
            <wp:extent cx="4200525" cy="95250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Результат: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381500" cy="259080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Задание 3: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1293495</wp:posOffset>
            </wp:positionH>
            <wp:positionV relativeFrom="paragraph">
              <wp:posOffset>46355</wp:posOffset>
            </wp:positionV>
            <wp:extent cx="3562350" cy="295275"/>
            <wp:effectExtent l="0" t="0" r="0" b="0"/>
            <wp:wrapSquare wrapText="largest"/>
            <wp:docPr id="17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>Для решения задачи были использованы собственные функци</w:t>
      </w:r>
      <w:r>
        <w:rPr>
          <w:rFonts w:cs="Times New Roman" w:ascii="Times New Roman" w:hAnsi="Times New Roman"/>
          <w:sz w:val="28"/>
          <w:szCs w:val="28"/>
          <w:highlight w:val="white"/>
        </w:rPr>
        <w:t>я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data.frame()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data.frame() -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создает таблицу данных из поименованных или непоименованных аргументов;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Код: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7595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Результат: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26990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-1905</wp:posOffset>
            </wp:positionH>
            <wp:positionV relativeFrom="paragraph">
              <wp:posOffset>87630</wp:posOffset>
            </wp:positionV>
            <wp:extent cx="2028825" cy="1152525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2586990</wp:posOffset>
            </wp:positionH>
            <wp:positionV relativeFrom="paragraph">
              <wp:posOffset>97155</wp:posOffset>
            </wp:positionV>
            <wp:extent cx="2009775" cy="1905000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highlight w:val="white"/>
        </w:rPr>
        <w:t xml:space="preserve"> 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Задание 4</w:t>
      </w:r>
      <w:r>
        <w:rPr>
          <w:rFonts w:cs="Times New Roman" w:ascii="Times New Roman" w:hAnsi="Times New Roman"/>
          <w:sz w:val="28"/>
          <w:szCs w:val="28"/>
          <w:u w:val="single"/>
        </w:rPr>
        <w:t>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615950</wp:posOffset>
            </wp:positionH>
            <wp:positionV relativeFrom="paragraph">
              <wp:posOffset>38735</wp:posOffset>
            </wp:positionV>
            <wp:extent cx="5248275" cy="428625"/>
            <wp:effectExtent l="0" t="0" r="0" b="0"/>
            <wp:wrapSquare wrapText="largest"/>
            <wp:docPr id="2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Для решения задачи были использованы собственные функции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par()</w:t>
      </w:r>
      <w:r>
        <w:rPr>
          <w:rFonts w:cs="Times New Roman" w:ascii="Times New Roman" w:hAnsi="Times New Roman"/>
          <w:sz w:val="28"/>
          <w:szCs w:val="28"/>
          <w:highlight w:val="white"/>
        </w:rPr>
        <w:t>,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hist()</w:t>
      </w:r>
      <w:r>
        <w:rPr>
          <w:rFonts w:cs="Times New Roman" w:ascii="Times New Roman" w:hAnsi="Times New Roman"/>
          <w:sz w:val="28"/>
          <w:szCs w:val="28"/>
          <w:highlight w:val="white"/>
        </w:rPr>
        <w:t>,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lines()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density()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par()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функция для разделения пространства, на котором будут графики, на некое определенное количество маленьких пространств, для того, чтобы нарисовать сразу несколько графиков на одном экране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hist(x, breaks = 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функция для создания гистограмм частот значений переменной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х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(аргумент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breaks =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можно использовать, чтобы изменить принятое по умолчанию количество столбцов</w:t>
      </w:r>
      <w:r>
        <w:rPr>
          <w:rFonts w:cs="Times New Roman" w:ascii="Times New Roman" w:hAnsi="Times New Roman"/>
          <w:sz w:val="28"/>
          <w:szCs w:val="28"/>
        </w:rPr>
        <w:t>);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переменная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breaks </w:t>
      </w:r>
      <w:r>
        <w:rPr>
          <w:rFonts w:cs="Times New Roman" w:ascii="Times New Roman" w:hAnsi="Times New Roman"/>
          <w:sz w:val="28"/>
          <w:szCs w:val="28"/>
          <w:highlight w:val="white"/>
        </w:rPr>
        <w:t>— количество столбцов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lines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(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x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col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= ,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lwb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= )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highlight w:val="white"/>
        </w:rPr>
        <w:t>функция для создания линий на графиках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значения</w:t>
      </w:r>
      <w:r>
        <w:rPr>
          <w:rFonts w:cs="Times New Roman" w:ascii="Times New Roman" w:hAnsi="Times New Roman"/>
          <w:sz w:val="28"/>
          <w:szCs w:val="28"/>
        </w:rPr>
        <w:t>;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col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цвет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lwd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толщина линии</w:t>
      </w:r>
      <w:r>
        <w:rPr>
          <w:rFonts w:cs="Times New Roman" w:ascii="Times New Roman" w:hAnsi="Times New Roman"/>
          <w:sz w:val="28"/>
          <w:szCs w:val="28"/>
        </w:rPr>
        <w:t>.)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density()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функция для нахождения ядерных плотностей вероятностей (ядерная плотность вероятности — оценка случайной величины)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Код: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12065</wp:posOffset>
            </wp:positionH>
            <wp:positionV relativeFrom="paragraph">
              <wp:posOffset>5715</wp:posOffset>
            </wp:positionV>
            <wp:extent cx="4191000" cy="2847975"/>
            <wp:effectExtent l="0" t="0" r="0" b="0"/>
            <wp:wrapSquare wrapText="largest"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Результат: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5219700" cy="4281170"/>
            <wp:effectExtent l="0" t="0" r="0" b="0"/>
            <wp:wrapSquare wrapText="largest"/>
            <wp:docPr id="24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38735</wp:posOffset>
            </wp:positionH>
            <wp:positionV relativeFrom="paragraph">
              <wp:posOffset>52070</wp:posOffset>
            </wp:positionV>
            <wp:extent cx="5257800" cy="4581525"/>
            <wp:effectExtent l="0" t="0" r="0" b="0"/>
            <wp:wrapSquare wrapText="largest"/>
            <wp:docPr id="25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Задание 5: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1102360</wp:posOffset>
            </wp:positionH>
            <wp:positionV relativeFrom="paragraph">
              <wp:posOffset>61595</wp:posOffset>
            </wp:positionV>
            <wp:extent cx="3829050" cy="285750"/>
            <wp:effectExtent l="0" t="0" r="0" b="0"/>
            <wp:wrapSquare wrapText="largest"/>
            <wp:docPr id="26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Для решения задачи были использованы функции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boxplot()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и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dev.off()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>dev.off()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– функция для очистки окна вывода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boxplot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(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x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,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= ,  </w:t>
      </w:r>
      <w:r>
        <w:rPr>
          <w:rFonts w:cs="Times New Roman" w:ascii="Times New Roman" w:hAnsi="Times New Roman"/>
          <w:b/>
          <w:sz w:val="28"/>
          <w:szCs w:val="28"/>
          <w:highlight w:val="white"/>
          <w:lang w:val="en-US"/>
        </w:rPr>
        <w:t>ylab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= )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highlight w:val="white"/>
        </w:rPr>
        <w:t>функция для построения диаграмм размахов («коробок с усами»)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(Параметры: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x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выборка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main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название графика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ylab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— название осиOY</w:t>
      </w:r>
      <w:r>
        <w:rPr>
          <w:rFonts w:cs="Times New Roman" w:ascii="Times New Roman" w:hAnsi="Times New Roman"/>
          <w:sz w:val="28"/>
          <w:szCs w:val="28"/>
        </w:rPr>
        <w:t>.)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 xml:space="preserve">Код: </w:t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943475" cy="1352550"/>
            <wp:effectExtent l="0" t="0" r="0" b="0"/>
            <wp:wrapSquare wrapText="largest"/>
            <wp:docPr id="2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  <w:u w:val="single"/>
        </w:rPr>
        <w:t>Результат: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120130" cy="4536440"/>
            <wp:effectExtent l="0" t="0" r="0" b="0"/>
            <wp:wrapSquare wrapText="largest"/>
            <wp:docPr id="28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Pr>
      <w:color w:val="000080"/>
      <w:u w:val="single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e02e91"/>
    <w:rPr>
      <w:rFonts w:cs="Mangal"/>
      <w:szCs w:val="21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/>
      <w:color w:val="auto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2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c726c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4">
    <w:name w:val="Footer"/>
    <w:basedOn w:val="Normal"/>
    <w:link w:val="ad"/>
    <w:uiPriority w:val="99"/>
    <w:unhideWhenUsed/>
    <w:rsid w:val="00e02e91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LibreOffice/6.0.7.3$Linux_X86_64 LibreOffice_project/00m0$Build-3</Application>
  <Pages>9</Pages>
  <Words>675</Words>
  <Characters>4813</Characters>
  <CharactersWithSpaces>5489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2019-11-25T18:25:00Z</dcterms:created>
  <dc:creator/>
  <dc:description/>
  <dc:language>ru-RU</dc:language>
  <cp:lastModifiedBy/>
  <dcterms:modified xsi:type="dcterms:W3CDTF">2019-12-15T17:25:10Z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