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Morgan Stanley Children’s Mental Health Innovation Awards, 2027 Cycle</w:t>
      </w:r>
      <w:r>
        <w:t xml:space="preserve"> </w:t>
      </w:r>
      <w:r>
        <w:t xml:space="preserve">Application Answers (built against the actual portal questions)</w:t>
      </w:r>
    </w:p>
    <w:p>
      <w:pPr>
        <w:pStyle w:val="BodyText"/>
      </w:pPr>
      <w:r>
        <w:t xml:space="preserve">STATUS: Draft for Neo’s go/no-go review. Not yet submitted. Anchor program: GOODLearningHub’s Mental Health Services Expansion (ages 14 to 18), funded in part by the Aim High/NY Life Foundation since August 2025. This request funds the peer-support and family-engagement layer of that same initiative.</w:t>
      </w:r>
    </w:p>
    <w:p>
      <w:pPr>
        <w:pStyle w:val="BodyText"/>
      </w:pPr>
      <w:r>
        <w:t xml:space="preserve">Every answer below is exactly what should be copied into the portal field, nothing more. All sourcing, caveats, and open questions are consolidated in the INTERNAL NOTES section at the end of this document, which is not part of the application and must never be pasted into any field.</w:t>
      </w:r>
    </w:p>
    <w:p>
      <w:pPr>
        <w:pStyle w:val="BodyText"/>
      </w:pPr>
      <w:r>
        <w:t xml:space="preserve">Deadline: July 24, 2026, 11:59 pm ET. Portal: morganstanley.theonevalley.com. Contact: acmhinnovation@morganstanley.com.</w:t>
      </w:r>
    </w:p>
    <w:bookmarkStart w:id="20" w:name="organization-information"/>
    <w:p>
      <w:pPr>
        <w:pStyle w:val="Heading2"/>
      </w:pPr>
      <w:r>
        <w:t xml:space="preserve">ORGANIZATION INFORMATION</w:t>
      </w:r>
    </w:p>
    <w:p>
      <w:pPr>
        <w:pStyle w:val="FirstParagraph"/>
      </w:pPr>
      <w:r>
        <w:rPr>
          <w:bCs/>
          <w:b/>
        </w:rPr>
        <w:t xml:space="preserve">Organization Name</w:t>
      </w:r>
      <w:r>
        <w:t xml:space="preserve"> </w:t>
      </w:r>
      <w:r>
        <w:t xml:space="preserve">GOODProjects, Inc.</w:t>
      </w:r>
    </w:p>
    <w:p>
      <w:pPr>
        <w:pStyle w:val="BodyText"/>
      </w:pPr>
      <w:r>
        <w:rPr>
          <w:bCs/>
          <w:b/>
        </w:rPr>
        <w:t xml:space="preserve">Website</w:t>
      </w:r>
      <w:r>
        <w:t xml:space="preserve"> </w:t>
      </w:r>
      <w:r>
        <w:t xml:space="preserve">goodprojects.org</w:t>
      </w:r>
    </w:p>
    <w:p>
      <w:pPr>
        <w:pStyle w:val="BodyText"/>
      </w:pPr>
      <w:r>
        <w:rPr>
          <w:bCs/>
          <w:b/>
        </w:rPr>
        <w:t xml:space="preserve">Organization Tax ID (EIN)</w:t>
      </w:r>
      <w:r>
        <w:t xml:space="preserve"> </w:t>
      </w:r>
      <w:r>
        <w:t xml:space="preserve">81-1491594</w:t>
      </w:r>
    </w:p>
    <w:p>
      <w:pPr>
        <w:pStyle w:val="BodyText"/>
      </w:pPr>
      <w:r>
        <w:rPr>
          <w:bCs/>
          <w:b/>
        </w:rPr>
        <w:t xml:space="preserve">Street Address</w:t>
      </w:r>
      <w:r>
        <w:t xml:space="preserve"> </w:t>
      </w:r>
      <w:r>
        <w:t xml:space="preserve">996 Maine Avenue SW, Suite 208</w:t>
      </w:r>
    </w:p>
    <w:p>
      <w:pPr>
        <w:pStyle w:val="BodyText"/>
      </w:pPr>
      <w:r>
        <w:rPr>
          <w:bCs/>
          <w:b/>
        </w:rPr>
        <w:t xml:space="preserve">City</w:t>
      </w:r>
      <w:r>
        <w:t xml:space="preserve"> </w:t>
      </w:r>
      <w:r>
        <w:t xml:space="preserve">Washington</w:t>
      </w:r>
    </w:p>
    <w:p>
      <w:pPr>
        <w:pStyle w:val="BodyText"/>
      </w:pPr>
      <w:r>
        <w:rPr>
          <w:bCs/>
          <w:b/>
        </w:rPr>
        <w:t xml:space="preserve">State</w:t>
      </w:r>
      <w:r>
        <w:t xml:space="preserve"> </w:t>
      </w:r>
      <w:r>
        <w:t xml:space="preserve">Washington DC / District of Columbia</w:t>
      </w:r>
    </w:p>
    <w:p>
      <w:pPr>
        <w:pStyle w:val="BodyText"/>
      </w:pPr>
      <w:r>
        <w:rPr>
          <w:bCs/>
          <w:b/>
        </w:rPr>
        <w:t xml:space="preserve">Zip Code</w:t>
      </w:r>
      <w:r>
        <w:t xml:space="preserve"> </w:t>
      </w:r>
      <w:r>
        <w:t xml:space="preserve">20024</w:t>
      </w:r>
    </w:p>
    <w:p>
      <w:pPr>
        <w:pStyle w:val="BodyText"/>
      </w:pPr>
      <w:r>
        <w:rPr>
          <w:bCs/>
          <w:b/>
        </w:rPr>
        <w:t xml:space="preserve">Contact Person Name</w:t>
      </w:r>
      <w:r>
        <w:t xml:space="preserve"> </w:t>
      </w:r>
      <w:r>
        <w:t xml:space="preserve">Darius Baxter</w:t>
      </w:r>
    </w:p>
    <w:p>
      <w:pPr>
        <w:pStyle w:val="BodyText"/>
      </w:pPr>
      <w:r>
        <w:rPr>
          <w:bCs/>
          <w:b/>
        </w:rPr>
        <w:t xml:space="preserve">Contact Person Email Address</w:t>
      </w:r>
      <w:r>
        <w:t xml:space="preserve"> </w:t>
      </w:r>
      <w:r>
        <w:t xml:space="preserve">grants@goodprojects.org</w:t>
      </w:r>
    </w:p>
    <w:p>
      <w:pPr>
        <w:pStyle w:val="BodyText"/>
      </w:pPr>
      <w:r>
        <w:rPr>
          <w:bCs/>
          <w:b/>
        </w:rPr>
        <w:t xml:space="preserve">Contact Person Phone Number</w:t>
      </w:r>
      <w:r>
        <w:t xml:space="preserve"> </w:t>
      </w:r>
      <w:r>
        <w:t xml:space="preserve">To be confirmed before submission.</w:t>
      </w:r>
    </w:p>
    <w:p>
      <w:pPr>
        <w:pStyle w:val="BodyText"/>
      </w:pPr>
      <w:r>
        <w:rPr>
          <w:bCs/>
          <w:b/>
        </w:rPr>
        <w:t xml:space="preserve">Is your organization (or your fiscal sponsor’s organization) a 501(c)(3) public charity?</w:t>
      </w:r>
      <w:r>
        <w:t xml:space="preserve"> </w:t>
      </w:r>
      <w:r>
        <w:t xml:space="preserve">Yes</w:t>
      </w:r>
    </w:p>
    <w:p>
      <w:pPr>
        <w:pStyle w:val="BodyText"/>
      </w:pPr>
      <w:r>
        <w:rPr>
          <w:bCs/>
          <w:b/>
        </w:rPr>
        <w:t xml:space="preserve">Would you be able to provide your organization’s (or fiscal sponsor’s) most recent Form 990?</w:t>
      </w:r>
      <w:r>
        <w:t xml:space="preserve"> </w:t>
      </w:r>
      <w:r>
        <w:t xml:space="preserve">Yes</w:t>
      </w:r>
    </w:p>
    <w:p>
      <w:pPr>
        <w:pStyle w:val="BodyText"/>
      </w:pPr>
      <w:r>
        <w:rPr>
          <w:bCs/>
          <w:b/>
        </w:rPr>
        <w:t xml:space="preserve">Would you be able to provide your organization’s (or fiscal sponsor’s) IRS determination letter?</w:t>
      </w:r>
      <w:r>
        <w:t xml:space="preserve"> </w:t>
      </w:r>
      <w:r>
        <w:t xml:space="preserve">Yes</w:t>
      </w:r>
    </w:p>
    <w:p>
      <w:pPr>
        <w:pStyle w:val="BodyText"/>
      </w:pPr>
      <w:r>
        <w:rPr>
          <w:bCs/>
          <w:b/>
        </w:rPr>
        <w:t xml:space="preserve">May we share your application with other potential funders?</w:t>
      </w:r>
      <w:r>
        <w:t xml:space="preserve"> </w:t>
      </w:r>
      <w:r>
        <w:t xml:space="preserve">Yes</w:t>
      </w:r>
    </w:p>
    <w:p>
      <w:pPr>
        <w:pStyle w:val="BodyText"/>
      </w:pPr>
      <w:r>
        <w:rPr>
          <w:bCs/>
          <w:b/>
        </w:rPr>
        <w:t xml:space="preserve">How many years has your organization been in operation?</w:t>
      </w:r>
      <w:r>
        <w:t xml:space="preserve"> </w:t>
      </w:r>
      <w:r>
        <w:t xml:space="preserve">10 years</w:t>
      </w:r>
    </w:p>
    <w:p>
      <w:pPr>
        <w:pStyle w:val="BodyText"/>
      </w:pPr>
      <w:r>
        <w:rPr>
          <w:bCs/>
          <w:b/>
        </w:rPr>
        <w:t xml:space="preserve">What is your organization’s annual total revenue?</w:t>
      </w:r>
      <w:r>
        <w:t xml:space="preserve"> </w:t>
      </w:r>
      <w:r>
        <w:t xml:space="preserve">$1,694,903</w:t>
      </w:r>
    </w:p>
    <w:p>
      <w:pPr>
        <w:pStyle w:val="BodyText"/>
      </w:pPr>
      <w:r>
        <w:rPr>
          <w:bCs/>
          <w:b/>
        </w:rPr>
        <w:t xml:space="preserve">What is the size of your organization’s full time staff?</w:t>
      </w:r>
      <w:r>
        <w:t xml:space="preserve"> </w:t>
      </w:r>
      <w:r>
        <w:t xml:space="preserve">11</w:t>
      </w:r>
    </w:p>
    <w:p>
      <w:pPr>
        <w:pStyle w:val="BodyText"/>
      </w:pPr>
      <w:r>
        <w:rPr>
          <w:bCs/>
          <w:b/>
        </w:rPr>
        <w:t xml:space="preserve">What is your organization’s mission? (500 char max)</w:t>
      </w:r>
      <w:r>
        <w:t xml:space="preserve"> </w:t>
      </w:r>
      <w:r>
        <w:t xml:space="preserve">GOODProjects is a Washington, DC nonprofit working to end the cycle of intergenerational poverty in Southwest DC through a two-generation, place-based model. We pair children’s education and youth development with the economic mobility, food security, health, and stability of the adults around them, so progress in one generation reinforces the next. Poverty and violence in our community are inseparable from mental health, so trauma-informed care runs through every program we operate.</w:t>
      </w:r>
      <w:r>
        <w:t xml:space="preserve"> </w:t>
      </w:r>
      <w:r>
        <w:rPr>
          <w:iCs/>
          <w:i/>
        </w:rPr>
        <w:t xml:space="preserve">(488/500 characters)</w:t>
      </w:r>
    </w:p>
    <w:p>
      <w:pPr>
        <w:pStyle w:val="BodyText"/>
      </w:pPr>
      <w:r>
        <w:rPr>
          <w:bCs/>
          <w:b/>
        </w:rPr>
        <w:t xml:space="preserve">What are the primary programs and services provided by your organization? (1000 char max)</w:t>
      </w:r>
      <w:r>
        <w:t xml:space="preserve"> </w:t>
      </w:r>
      <w:r>
        <w:t xml:space="preserve">GOODProjects runs a four-phase continuum in Southwest DC’s Ward 6 public housing communities. Family Success Planning pairs every enrolled family with a dedicated coach for financial stability and workforce readiness. GOODLearningHub provides tutoring, afterschool programming, summer camp, and, since August 2025, a dedicated mental health services expansion for youth ages 14 to 18, anchored by a licensed clinical social worker and funded in part by the Aim High/NY Life Foundation. GOODZone is our violence interruption program: Credible Messengers and Crisis Intervention Specialists provide daily street-level presence and 48-hour crisis response. JUMPSTART is our workforce development program for older youth and adults. The SW Peace Garden, launched in 2021, is a trauma-informed therapeutic horticulture space that complements this continuum.</w:t>
      </w:r>
      <w:r>
        <w:t xml:space="preserve"> </w:t>
      </w:r>
      <w:r>
        <w:rPr>
          <w:iCs/>
          <w:i/>
        </w:rPr>
        <w:t xml:space="preserve">(852/1000 characters)</w:t>
      </w:r>
    </w:p>
    <w:p>
      <w:pPr>
        <w:pStyle w:val="BodyText"/>
      </w:pPr>
      <w:r>
        <w:rPr>
          <w:bCs/>
          <w:b/>
        </w:rPr>
        <w:t xml:space="preserve">Please describe the primary population that your organization/program serves (500 char max)</w:t>
      </w:r>
      <w:r>
        <w:t xml:space="preserve"> </w:t>
      </w:r>
      <w:r>
        <w:t xml:space="preserve">We serve residents of James Creek, Syphax Gardens, and Greenleaf, three public housing communities in Southwest DC’s Ward 6. Approximately 95% of participants are Black or African American, and median household income is approximately $14,000 a year, well below the poverty line. Families here face chronic exposure to community violence alongside poverty and housing instability. This request targets youth ages 14 to 18 and caregivers navigating the transition to adulthood under those conditions.</w:t>
      </w:r>
      <w:r>
        <w:t xml:space="preserve"> </w:t>
      </w:r>
      <w:r>
        <w:rPr>
          <w:iCs/>
          <w:i/>
        </w:rPr>
        <w:t xml:space="preserve">(499/500 characters)</w:t>
      </w:r>
    </w:p>
    <w:p>
      <w:pPr>
        <w:pStyle w:val="BodyText"/>
      </w:pPr>
      <w:r>
        <w:rPr>
          <w:bCs/>
          <w:b/>
        </w:rPr>
        <w:t xml:space="preserve">Has your organization applied for the Innovation Awards before?</w:t>
      </w:r>
      <w:r>
        <w:t xml:space="preserve"> </w:t>
      </w:r>
      <w:r>
        <w:t xml:space="preserve">Yes</w:t>
      </w:r>
    </w:p>
    <w:p>
      <w:pPr>
        <w:pStyle w:val="BodyText"/>
      </w:pPr>
      <w:r>
        <w:rPr>
          <w:bCs/>
          <w:b/>
        </w:rPr>
        <w:t xml:space="preserve">Please choose the award(s) you want to apply for</w:t>
      </w:r>
      <w:r>
        <w:t xml:space="preserve"> </w:t>
      </w:r>
      <w:r>
        <w:t xml:space="preserve">Innovation Award</w:t>
      </w:r>
    </w:p>
    <w:bookmarkEnd w:id="20"/>
    <w:bookmarkStart w:id="21" w:name="proposed-program-information"/>
    <w:p>
      <w:pPr>
        <w:pStyle w:val="Heading2"/>
      </w:pPr>
      <w:r>
        <w:t xml:space="preserve">PROPOSED PROGRAM INFORMATION</w:t>
      </w:r>
    </w:p>
    <w:p>
      <w:pPr>
        <w:pStyle w:val="FirstParagraph"/>
      </w:pPr>
      <w:r>
        <w:rPr>
          <w:bCs/>
          <w:b/>
        </w:rPr>
        <w:t xml:space="preserve">Describe your proposed program for addressing the challenges of stress, anxiety, depression or other mental health issues among children or youth in the U.S. (2500 char max)</w:t>
      </w:r>
      <w:r>
        <w:t xml:space="preserve"> </w:t>
      </w:r>
      <w:r>
        <w:t xml:space="preserve">GOODProjects requests $100,000 to deepen the mental health services expansion inside GOODLearningHub, our youth development hub in Southwest DC, for teens ages 14 to 18. In August 2025, the Aim High/NY Life Foundation committed $100,000 over two years to embed a licensed clinical social worker in GOODLearningHub, extending our existing model for younger children (through age 13) up through high school for the first time. That clinical position is now in place and delivering individual and group counseling, crisis intervention, and staff training in trauma-informed care.</w:t>
      </w:r>
    </w:p>
    <w:p>
      <w:pPr>
        <w:pStyle w:val="BodyText"/>
      </w:pPr>
      <w:r>
        <w:t xml:space="preserve">This request funds the layer of the same initiative that NY Life’s grant does not cover: a Peer Support Specialist role and a trained cohort of Peer Wellness Leaders, middle and high school students who co-facilitate social-emotional learning sessions and help normalize conversations about mental health among their peers. We draw on the CASEL framework and Trust-Based Relational Intervention (TBRI) to structure this work, and use the DESSA Mini assessment to track emotional-skills growth. Programming includes mindfulness, journaling, and expressive-arts sessions, delivered onsite at our GOODZone community hub alongside recreation space and community gardens, removing transportation and access barriers common to clinical mental health care.</w:t>
      </w:r>
    </w:p>
    <w:p>
      <w:pPr>
        <w:pStyle w:val="BodyText"/>
      </w:pPr>
      <w:r>
        <w:t xml:space="preserve">Family engagement is built in through our Family Success Planning model: weekly caregiver sessions keep support consistent across home and program environments. The result is a single continuum, licensed clinical care from NY Life’s investment, paired with peer-led, family-integrated support this grant would fund, rather than two disconnected mental health efforts inside the same organization.</w:t>
      </w:r>
      <w:r>
        <w:t xml:space="preserve"> </w:t>
      </w:r>
      <w:r>
        <w:rPr>
          <w:iCs/>
          <w:i/>
        </w:rPr>
        <w:t xml:space="preserve">(1725/2500 characters)</w:t>
      </w:r>
    </w:p>
    <w:p>
      <w:pPr>
        <w:pStyle w:val="BodyText"/>
      </w:pPr>
      <w:r>
        <w:rPr>
          <w:bCs/>
          <w:b/>
        </w:rPr>
        <w:t xml:space="preserve">What is the problem or unmet need your program aims to address? (1000 char max)</w:t>
      </w:r>
      <w:r>
        <w:t xml:space="preserve"> </w:t>
      </w:r>
      <w:r>
        <w:t xml:space="preserve">Youth in Southwest DC’s Ward 6 public housing communities face chronic exposure to poverty, community violence, and systemic disinvestment, producing high rates of stress, anxiety, and depression. Culturally relevant, affordable mental health care remains out of reach for most Black teens in public housing, and services that do exist are often clinical-only, disconnected from where youth already spend their time, and silent on the peer relationships that shape adolescent mental health most directly. Our licensed clinical social worker, funded by NY Life starting in 2025, addresses the clinical gap for ages 14 to 18. What remains unfunded is the peer-support and family-engagement layer around that clinical care, the piece that determines whether teens actually use the services available to them and whether gains outside the counseling room hold.</w:t>
      </w:r>
      <w:r>
        <w:t xml:space="preserve"> </w:t>
      </w:r>
      <w:r>
        <w:rPr>
          <w:iCs/>
          <w:i/>
        </w:rPr>
        <w:t xml:space="preserve">(856/1000 characters)</w:t>
      </w:r>
    </w:p>
    <w:p>
      <w:pPr>
        <w:pStyle w:val="BodyText"/>
      </w:pPr>
      <w:r>
        <w:rPr>
          <w:bCs/>
          <w:b/>
        </w:rPr>
        <w:t xml:space="preserve">Is this a new, piloted, or existing program?</w:t>
      </w:r>
      <w:r>
        <w:t xml:space="preserve"> </w:t>
      </w:r>
      <w:r>
        <w:t xml:space="preserve">Existing. The GOODLearningHub mental health expansion has run since August 2025. This request adds a new component, peer support and family engagement, to an already-operating, clinically-staffed program.</w:t>
      </w:r>
    </w:p>
    <w:p>
      <w:pPr>
        <w:pStyle w:val="BodyText"/>
      </w:pPr>
      <w:r>
        <w:rPr>
          <w:bCs/>
          <w:b/>
        </w:rPr>
        <w:t xml:space="preserve">Please highlight the innovative aspects of your program. Are you aware of any other similar programs in the U.S.? How do you distinguish your program from others? (1500 char max)</w:t>
      </w:r>
      <w:r>
        <w:t xml:space="preserve"> </w:t>
      </w:r>
      <w:r>
        <w:t xml:space="preserve">Most mental health programs serving low-income teens are clinical-only: a counselor’s office, walled off from the rest of a young person’s life. Our model treats clinical care as one layer of a larger system, embedding a licensed clinical social worker inside the same community hub where teens already do tutoring, sports, and afterschool programming, then surrounding that clinical layer with trained peer wellness leaders and structured family engagement through Family Success Planning. We are not aware of another DC program that pairs licensed clinical mental health staffing with youth-led peer support and weekly caregiver engagement under one roof in a public housing community. Funding this expansion through two philanthropic partners, NY Life for clinical staffing and this request for the peer and family layer, lets each funder support the piece of the model closest to their own priorities while GOODProjects keeps the full continuum intact rather than building each layer in isolation.</w:t>
      </w:r>
      <w:r>
        <w:t xml:space="preserve"> </w:t>
      </w:r>
      <w:r>
        <w:rPr>
          <w:iCs/>
          <w:i/>
        </w:rPr>
        <w:t xml:space="preserve">(1001/1500 characters)</w:t>
      </w:r>
    </w:p>
    <w:p>
      <w:pPr>
        <w:pStyle w:val="BodyText"/>
      </w:pPr>
      <w:r>
        <w:rPr>
          <w:bCs/>
          <w:b/>
        </w:rPr>
        <w:t xml:space="preserve">What are the services delivered? How do you deliver the services? (1500 char max)</w:t>
      </w:r>
      <w:r>
        <w:t xml:space="preserve"> </w:t>
      </w:r>
      <w:r>
        <w:t xml:space="preserve">The GOODLearningHub mental health expansion serves youth ages 14 to 18 through three integrated layers. Clinical: a licensed clinical social worker, funded by the Aim High/NY Life Foundation, provides individual and group counseling, crisis intervention, and referrals to higher-level care when needed. Peer: trained Peer Wellness Leaders, middle and high school students, co-facilitate social-emotional learning workshops using the CASEL framework and lead mindfulness, journaling, and expressive-arts sessions grounded in Trust-Based Relational Intervention (TBRI). Family: weekly caregiver sessions through our Family Success Planning model keep support consistent across home and program. All three layers operate onsite at our GOODZone community hub, co-located with recreation space and community gardens, so teens access mental health support in the same place they already go for tutoring, sports, and afterschool programming, without a separate clinical appointment or facility.</w:t>
      </w:r>
      <w:r>
        <w:t xml:space="preserve"> </w:t>
      </w:r>
      <w:r>
        <w:rPr>
          <w:iCs/>
          <w:i/>
        </w:rPr>
        <w:t xml:space="preserve">(987/1500 characters)</w:t>
      </w:r>
    </w:p>
    <w:p>
      <w:pPr>
        <w:pStyle w:val="BodyText"/>
      </w:pPr>
      <w:r>
        <w:rPr>
          <w:bCs/>
          <w:b/>
        </w:rPr>
        <w:t xml:space="preserve">How is your program informed and/or delivered by mental health professionals? (1500 char max)</w:t>
      </w:r>
      <w:r>
        <w:t xml:space="preserve"> </w:t>
      </w:r>
      <w:r>
        <w:t xml:space="preserve">The program is grounded in trauma-informed, evidence-based practice and designed in close collaboration with mental health professionals. A licensed clinical social worker, embedded in GOODLearningHub since 2025 through the Aim High/NY Life Foundation partnership, provides direct counseling and trains program staff in trauma-informed care. We draw on the CASEL framework for social-emotional learning and Trust-Based Relational Intervention (TBRI) to guide emotional regulation and relationship-building work, and use the DESSA Mini assessment to measure youth emotional skills. Peer Wellness Leaders, trained older youth, extend this clinical foundation into daily peer interactions, and weekly Family Success Planning sessions bring caregiver voice directly into program design. GOODProjects also partners with C3 Wellness for trauma-informed therapy and wellness check-ins across our broader continuum, giving families a referral path beyond what any single funded position can carry alone.</w:t>
      </w:r>
      <w:r>
        <w:t xml:space="preserve"> </w:t>
      </w:r>
      <w:r>
        <w:rPr>
          <w:iCs/>
          <w:i/>
        </w:rPr>
        <w:t xml:space="preserve">(995/1500 characters)</w:t>
      </w:r>
    </w:p>
    <w:p>
      <w:pPr>
        <w:pStyle w:val="BodyText"/>
      </w:pPr>
      <w:r>
        <w:rPr>
          <w:bCs/>
          <w:b/>
        </w:rPr>
        <w:t xml:space="preserve">Over the life of the grant, who would benefit from your program services, in what geographic area, and over what time frame? (1000 char max)</w:t>
      </w:r>
      <w:r>
        <w:t xml:space="preserve"> </w:t>
      </w:r>
      <w:r>
        <w:t xml:space="preserve">Over the 12-month grant period, we project continued engagement of 120 or more youth annually in GOODLearningHub’s mental health programming, now including, for the first time, teens ages 14 to 18 under the 2025 clinical expansion. Participants are teens and their caregivers in James Creek, Syphax Gardens, and Greenleaf, three public housing communities in Southwest DC’s Ward 6, plus the broader Southwest DC corridor GOODLearningHub increasingly serves.</w:t>
      </w:r>
      <w:r>
        <w:t xml:space="preserve"> </w:t>
      </w:r>
      <w:r>
        <w:rPr>
          <w:iCs/>
          <w:i/>
        </w:rPr>
        <w:t xml:space="preserve">(468/1000 characters)</w:t>
      </w:r>
    </w:p>
    <w:p>
      <w:pPr>
        <w:pStyle w:val="BodyText"/>
      </w:pPr>
      <w:r>
        <w:rPr>
          <w:bCs/>
          <w:b/>
        </w:rPr>
        <w:t xml:space="preserve">How would you measure and evaluate your services delivered and the impact of your program? (1500 char max)</w:t>
      </w:r>
      <w:r>
        <w:t xml:space="preserve"> </w:t>
      </w:r>
      <w:r>
        <w:t xml:space="preserve">GOODProjects tracks participation and outcomes using Salesforce CRM alongside program-specific tools. For this program, we use the DESSA Mini (Devereux Student Strengths Assessment) to measure youth emotional skills and resilience through pre- and post-program assessment, with a goal of 75% of participants showing measurable growth by program end. We track attendance and retention as indicators of trust and access, and collect caregiver feedback through monthly surveys and Family Success Planning sessions. In the most recent full program year, over 120 youth engaged in GOODLearningHub’s mental health programming, with 90% attending regularly and 80% demonstrating improved emotional regulation and peer relationships.</w:t>
      </w:r>
      <w:r>
        <w:t xml:space="preserve"> </w:t>
      </w:r>
      <w:r>
        <w:rPr>
          <w:iCs/>
          <w:i/>
        </w:rPr>
        <w:t xml:space="preserve">(716/1500 characters)</w:t>
      </w:r>
    </w:p>
    <w:p>
      <w:pPr>
        <w:pStyle w:val="BodyText"/>
      </w:pPr>
      <w:r>
        <w:rPr>
          <w:bCs/>
          <w:b/>
        </w:rPr>
        <w:t xml:space="preserve">Is it feasible to scale or replicate your program to a broader community? If yes, how? (1500 char max)</w:t>
      </w:r>
      <w:r>
        <w:t xml:space="preserve"> </w:t>
      </w:r>
      <w:r>
        <w:t xml:space="preserve">Yes. The model separates cleanly into fundable layers, clinical staffing, peer support, and family engagement, which makes it possible to grow one layer at a time as funding allows, rather than requiring a single large investment to scale at all. GOODProjects is structured as a</w:t>
      </w:r>
      <w:r>
        <w:t xml:space="preserve"> </w:t>
      </w:r>
      <w:r>
        <w:t xml:space="preserve">“</w:t>
      </w:r>
      <w:r>
        <w:t xml:space="preserve">community quarterback</w:t>
      </w:r>
      <w:r>
        <w:t xml:space="preserve">”</w:t>
      </w:r>
      <w:r>
        <w:t xml:space="preserve"> </w:t>
      </w:r>
      <w:r>
        <w:t xml:space="preserve">model (the GOODZones Initiative), coordinating multiple partner organizations across housing, education, and youth development in one place-based footprint, so replicating this layered mental health model in additional GOODZone corridors or partner communities does not require building new organizational infrastructure. Over the next three to four years, with additional funding, we would extend the same three-layer model, licensed clinical care, trained peer wellness leaders, and family engagement, to younger cohorts and additional public housing sites in Southwest DC, using this grant’s outcomes as the evidence base.</w:t>
      </w:r>
      <w:r>
        <w:t xml:space="preserve"> </w:t>
      </w:r>
      <w:r>
        <w:rPr>
          <w:iCs/>
          <w:i/>
        </w:rPr>
        <w:t xml:space="preserve">(928/1500 characters)</w:t>
      </w:r>
    </w:p>
    <w:p>
      <w:pPr>
        <w:pStyle w:val="BodyText"/>
      </w:pPr>
      <w:r>
        <w:rPr>
          <w:bCs/>
          <w:b/>
        </w:rPr>
        <w:t xml:space="preserve">Please indicate the total budget of your program, including specific breakdowns, and how the amount from the Innovation Awards will be spent against the total budget</w:t>
      </w:r>
      <w:r>
        <w:t xml:space="preserve"> </w:t>
      </w:r>
      <w:r>
        <w:t xml:space="preserve">Combined two-funder program budget: $200,000 across two years (August 2025 to August 2027). $100,000 is already committed by the Aim High/NY Life Foundation and funds the licensed clinical social worker position at the core of the program (individual and group counseling, crisis intervention, staff training). This $100,000 request from Morgan Stanley funds the complementary peer-support and family-engagement layer, itemized below:</w:t>
      </w:r>
      <w:r>
        <w:t xml:space="preserve"> </w:t>
      </w:r>
      <w:r>
        <w:t xml:space="preserve">- Peer Support Specialist (new part-time role, works alongside the NY Life-funded clinical social worker): $35,000</w:t>
      </w:r>
      <w:r>
        <w:t xml:space="preserve"> </w:t>
      </w:r>
      <w:r>
        <w:t xml:space="preserve">- Peer Mentorship Program: stipends, training, and supervision for Peer Wellness Leaders: $20,000</w:t>
      </w:r>
      <w:r>
        <w:t xml:space="preserve"> </w:t>
      </w:r>
      <w:r>
        <w:t xml:space="preserve">- Program Supplies and Activities: journals, mindfulness kits, expressive-arts materials: $15,000</w:t>
      </w:r>
      <w:r>
        <w:t xml:space="preserve"> </w:t>
      </w:r>
      <w:r>
        <w:t xml:space="preserve">- Training and Evaluation: trauma-informed training for staff and peer leaders, DESSA Mini assessment administration and data analysis: $15,000</w:t>
      </w:r>
      <w:r>
        <w:t xml:space="preserve"> </w:t>
      </w:r>
      <w:r>
        <w:t xml:space="preserve">- Family and Community Engagement: weekly caregiver sessions, mental health literacy events, delivered through Family Success Planning: $15,000</w:t>
      </w:r>
      <w:r>
        <w:t xml:space="preserve"> </w:t>
      </w:r>
      <w:r>
        <w:t xml:space="preserve">-</w:t>
      </w:r>
      <w:r>
        <w:t xml:space="preserve"> </w:t>
      </w:r>
      <w:r>
        <w:rPr>
          <w:bCs/>
          <w:b/>
        </w:rPr>
        <w:t xml:space="preserve">Total: $100,000</w:t>
      </w:r>
    </w:p>
    <w:p>
      <w:pPr>
        <w:pStyle w:val="BodyText"/>
      </w:pPr>
      <w:r>
        <w:rPr>
          <w:bCs/>
          <w:b/>
        </w:rPr>
        <w:t xml:space="preserve">Please list any other committed sources of funding and how you plan to fill any gaps in your total budget. (1000 char max)</w:t>
      </w:r>
      <w:r>
        <w:t xml:space="preserve"> </w:t>
      </w:r>
      <w:r>
        <w:t xml:space="preserve">The Aim High/NY Life Foundation committed $100,000 over two years (August 2025 to August 2027) to fund the licensed clinical social worker position at the core of this program. This request funds the complementary peer-support and family-engagement layer that NY Life’s grant does not cover. GOODProjects does not rely on single-source funding: our diversified base includes DC government grants (ONSE, DPR, Learn24), national foundation grants (Ford Foundation, Robert Wood Johnson Foundation), and corporate and individual giving. We are pursuing additional foundation and corporate funding to extend this model to younger cohorts and additional sites once this grant’s outcomes are tracked for a full program year.</w:t>
      </w:r>
      <w:r>
        <w:t xml:space="preserve"> </w:t>
      </w:r>
      <w:r>
        <w:rPr>
          <w:iCs/>
          <w:i/>
        </w:rPr>
        <w:t xml:space="preserve">(717/1000 characters)</w:t>
      </w:r>
    </w:p>
    <w:bookmarkEnd w:id="21"/>
    <w:bookmarkStart w:id="22" w:name="X43c218b5b61eb7d16ef84866c9d3cff06848112"/>
    <w:p>
      <w:pPr>
        <w:pStyle w:val="Heading2"/>
      </w:pPr>
      <w:r>
        <w:t xml:space="preserve">LEADERSHIP LEARNING SERIES &amp; PRO BONO QUESTIONS</w:t>
      </w:r>
    </w:p>
    <w:p>
      <w:pPr>
        <w:pStyle w:val="FirstParagraph"/>
      </w:pPr>
      <w:r>
        <w:rPr>
          <w:bCs/>
          <w:b/>
        </w:rPr>
        <w:t xml:space="preserve">Would you be interested in joining the Leadership Learning Series, should your organization not be selected as an awardee and your schedule allow?</w:t>
      </w:r>
      <w:r>
        <w:t xml:space="preserve"> </w:t>
      </w:r>
      <w:r>
        <w:t xml:space="preserve">Yes</w:t>
      </w:r>
    </w:p>
    <w:p>
      <w:pPr>
        <w:pStyle w:val="BodyText"/>
      </w:pPr>
      <w:r>
        <w:rPr>
          <w:bCs/>
          <w:b/>
        </w:rPr>
        <w:t xml:space="preserve">If yes, please indicate which of the below topics your organization would be interested in learning about</w:t>
      </w:r>
      <w:r>
        <w:t xml:space="preserve"> </w:t>
      </w:r>
      <w:r>
        <w:t xml:space="preserve">Fundraising / Donor Relations; Nonprofit Management / Leadership; Executive Team Effectiveness; Program Development / Execution; Grant Writing / Pitch Development; Volunteer Engagement</w:t>
      </w:r>
    </w:p>
    <w:p>
      <w:pPr>
        <w:pStyle w:val="BodyText"/>
      </w:pPr>
      <w:r>
        <w:rPr>
          <w:bCs/>
          <w:b/>
        </w:rPr>
        <w:t xml:space="preserve">Have you enrolled in the Leadership Learning Series previously?</w:t>
      </w:r>
      <w:r>
        <w:t xml:space="preserve"> </w:t>
      </w:r>
      <w:r>
        <w:t xml:space="preserve">No</w:t>
      </w:r>
    </w:p>
    <w:p>
      <w:pPr>
        <w:pStyle w:val="BodyText"/>
      </w:pPr>
      <w:r>
        <w:rPr>
          <w:bCs/>
          <w:b/>
        </w:rPr>
        <w:t xml:space="preserve">Would your organization be interested in potential pro bono strategic advice from Morgan Stanley employees, should volunteers with relevant skillsets and availability be identified?</w:t>
      </w:r>
      <w:r>
        <w:t xml:space="preserve"> </w:t>
      </w:r>
      <w:r>
        <w:t xml:space="preserve">Yes</w:t>
      </w:r>
    </w:p>
    <w:p>
      <w:pPr>
        <w:pStyle w:val="BodyText"/>
      </w:pPr>
      <w:r>
        <w:rPr>
          <w:bCs/>
          <w:b/>
        </w:rPr>
        <w:t xml:space="preserve">How did you learn about this call for applications?</w:t>
      </w:r>
      <w:r>
        <w:t xml:space="preserve"> </w:t>
      </w:r>
      <w:r>
        <w:t xml:space="preserve">Attended Morgan Stanley’s June 23, 2026 information session for the Alliance for Children’s Mental Health Innovation Awards.</w:t>
      </w:r>
    </w:p>
    <w:p>
      <w:r>
        <w:pict>
          <v:rect style="width:0;height:1.5pt" o:hralign="center" o:hrstd="t" o:hr="t"/>
        </w:pict>
      </w:r>
    </w:p>
    <w:bookmarkEnd w:id="22"/>
    <w:bookmarkStart w:id="23" w:name="Xfe8a1c684b6f8a35105bfcefc9c0e929587bfa1"/>
    <w:p>
      <w:pPr>
        <w:pStyle w:val="Heading2"/>
      </w:pPr>
      <w:r>
        <w:t xml:space="preserve">INTERNAL NOTES: DO NOT PASTE INTO THE APPLICATION</w:t>
      </w:r>
    </w:p>
    <w:p>
      <w:pPr>
        <w:pStyle w:val="FirstParagraph"/>
      </w:pPr>
      <w:r>
        <w:t xml:space="preserve">These notes exist so nothing gets missed before submission. None of this text belongs in any portal field.</w:t>
      </w:r>
    </w:p>
    <w:p>
      <w:pPr>
        <w:numPr>
          <w:ilvl w:val="0"/>
          <w:numId w:val="1001"/>
        </w:numPr>
        <w:pStyle w:val="Compact"/>
      </w:pPr>
      <w:r>
        <w:rPr>
          <w:bCs/>
          <w:b/>
        </w:rPr>
        <w:t xml:space="preserve">Contact phone number</w:t>
      </w:r>
      <w:r>
        <w:t xml:space="preserve">: not on file for Darius Baxter anywhere in GOODProjects’ records. Do not substitute Neo Mangope’s number. Cole or Neo needs to supply the correct number before this can be submitted.</w:t>
      </w:r>
    </w:p>
    <w:p>
      <w:pPr>
        <w:numPr>
          <w:ilvl w:val="0"/>
          <w:numId w:val="1001"/>
        </w:numPr>
        <w:pStyle w:val="Compact"/>
      </w:pPr>
      <w:r>
        <w:rPr>
          <w:bCs/>
          <w:b/>
        </w:rPr>
        <w:t xml:space="preserve">Revenue, years in operation, staff size</w:t>
      </w:r>
      <w:r>
        <w:t xml:space="preserve">: the 2025-cycle version of this form used range-bucket dropdowns rather than free text (for example,</w:t>
      </w:r>
      <w:r>
        <w:t xml:space="preserve"> </w:t>
      </w:r>
      <w:r>
        <w:t xml:space="preserve">“</w:t>
      </w:r>
      <w:r>
        <w:t xml:space="preserve">$1M-$2M</w:t>
      </w:r>
      <w:r>
        <w:t xml:space="preserve">”</w:t>
      </w:r>
      <w:r>
        <w:t xml:space="preserve"> </w:t>
      </w:r>
      <w:r>
        <w:t xml:space="preserve">instead of an exact figure). If the 2027 form does the same, select the bracket containing the exact figures given above.</w:t>
      </w:r>
    </w:p>
    <w:p>
      <w:pPr>
        <w:numPr>
          <w:ilvl w:val="0"/>
          <w:numId w:val="1001"/>
        </w:numPr>
        <w:pStyle w:val="Compact"/>
      </w:pPr>
      <w:r>
        <w:rPr>
          <w:bCs/>
          <w:b/>
        </w:rPr>
        <w:t xml:space="preserve">“</w:t>
      </w:r>
      <w:r>
        <w:rPr>
          <w:bCs/>
          <w:b/>
        </w:rPr>
        <w:t xml:space="preserve">Applied for the Innovation Awards before</w:t>
      </w:r>
      <w:r>
        <w:rPr>
          <w:bCs/>
          <w:b/>
        </w:rPr>
        <w:t xml:space="preserve">”</w:t>
      </w:r>
      <w:r>
        <w:t xml:space="preserve">: answered Yes based on a complete 2025-cycle draft application on file. Submission status of that draft is not confirmed, and no Morgan Stanley award appears in the awarded-grants history, so it was likely applied-but-not-awarded, or possibly never submitted. Confirm with Neo before relying on</w:t>
      </w:r>
      <w:r>
        <w:t xml:space="preserve"> </w:t>
      </w:r>
      <w:r>
        <w:t xml:space="preserve">“</w:t>
      </w:r>
      <w:r>
        <w:t xml:space="preserve">Yes.</w:t>
      </w:r>
      <w:r>
        <w:t xml:space="preserve">”</w:t>
      </w:r>
    </w:p>
    <w:p>
      <w:pPr>
        <w:numPr>
          <w:ilvl w:val="0"/>
          <w:numId w:val="1001"/>
        </w:numPr>
        <w:pStyle w:val="Compact"/>
      </w:pPr>
      <w:r>
        <w:rPr>
          <w:bCs/>
          <w:b/>
        </w:rPr>
        <w:t xml:space="preserve">Award category</w:t>
      </w:r>
      <w:r>
        <w:t xml:space="preserve">: this draft assumes Darius Baxter is now over 32 and targets the standard Innovation Award. The 2025-cycle draft argued he qualified for the Next Gen (under-32) award. Confirm his current age against the threshold before choosing a category, since Next Gen has a lower award ceiling ($25,000-$50,000) but different competition.</w:t>
      </w:r>
    </w:p>
    <w:p>
      <w:pPr>
        <w:numPr>
          <w:ilvl w:val="0"/>
          <w:numId w:val="1001"/>
        </w:numPr>
        <w:pStyle w:val="Compact"/>
      </w:pPr>
      <w:r>
        <w:rPr>
          <w:bCs/>
          <w:b/>
        </w:rPr>
        <w:t xml:space="preserve">CASEL, TBRI, and DESSA Mini claims, plus the</w:t>
      </w:r>
      <w:r>
        <w:rPr>
          <w:bCs/>
          <w:b/>
        </w:rPr>
        <w:t xml:space="preserve"> </w:t>
      </w:r>
      <w:r>
        <w:rPr>
          <w:bCs/>
          <w:b/>
        </w:rPr>
        <w:t xml:space="preserve">“</w:t>
      </w:r>
      <w:r>
        <w:rPr>
          <w:bCs/>
          <w:b/>
        </w:rPr>
        <w:t xml:space="preserve">120 youth / 90% / 80%</w:t>
      </w:r>
      <w:r>
        <w:rPr>
          <w:bCs/>
          <w:b/>
        </w:rPr>
        <w:t xml:space="preserve">”</w:t>
      </w:r>
      <w:r>
        <w:rPr>
          <w:bCs/>
          <w:b/>
        </w:rPr>
        <w:t xml:space="preserve"> </w:t>
      </w:r>
      <w:r>
        <w:rPr>
          <w:bCs/>
          <w:b/>
        </w:rPr>
        <w:t xml:space="preserve">outcome figures</w:t>
      </w:r>
      <w:r>
        <w:t xml:space="preserve">: carried over from GOODProjects’ own 2025-cycle application for this funder, not independently verified against current program records. Confirm with Stephanie Page-Baxter or whoever oversees the licensed clinical social worker role, and get updated current-year figures if available, before submission.</w:t>
      </w:r>
    </w:p>
    <w:p>
      <w:pPr>
        <w:numPr>
          <w:ilvl w:val="0"/>
          <w:numId w:val="1001"/>
        </w:numPr>
        <w:pStyle w:val="Compact"/>
      </w:pPr>
      <w:r>
        <w:rPr>
          <w:bCs/>
          <w:b/>
        </w:rPr>
        <w:t xml:space="preserve">Budget</w:t>
      </w:r>
      <w:r>
        <w:t xml:space="preserve">: no line duplicates what NY Life already funds. Cole should still confirm current market rate for the Peer Support Specialist role before this figure is finalized.</w:t>
      </w:r>
    </w:p>
    <w:p>
      <w:pPr>
        <w:numPr>
          <w:ilvl w:val="0"/>
          <w:numId w:val="1001"/>
        </w:numPr>
        <w:pStyle w:val="Compact"/>
      </w:pPr>
      <w:r>
        <w:rPr>
          <w:bCs/>
          <w:b/>
        </w:rPr>
        <w:t xml:space="preserve">Leadership Learning Series topic list</w:t>
      </w:r>
      <w:r>
        <w:t xml:space="preserve">: carried over from the 2025-cycle application; confirm these still reflect current priorities before submitting.</w:t>
      </w:r>
    </w:p>
    <w:p>
      <w:pPr>
        <w:numPr>
          <w:ilvl w:val="0"/>
          <w:numId w:val="1001"/>
        </w:numPr>
        <w:pStyle w:val="Compact"/>
      </w:pPr>
      <w:r>
        <w:rPr>
          <w:bCs/>
          <w:b/>
        </w:rPr>
        <w:t xml:space="preserve">Darius Baxter has not yet signed or approved this application; route through Neo first.</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2026-07-13T01:24:49Z</dcterms:created>
  <dcterms:modified xsi:type="dcterms:W3CDTF">2026-07-13T01:24:49Z</dcterms:modified>
</cp:coreProperties>
</file>

<file path=docProps/custom.xml><?xml version="1.0" encoding="utf-8"?>
<Properties xmlns="http://schemas.openxmlformats.org/officeDocument/2006/custom-properties" xmlns:vt="http://schemas.openxmlformats.org/officeDocument/2006/docPropsVTypes"/>
</file>