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GOODProjects</w:t>
      </w:r>
      <w:r>
        <w:t xml:space="preserve"> </w:t>
      </w:r>
      <w:r>
        <w:t xml:space="preserve">Corporate Grant Draft</w:t>
      </w:r>
      <w:r>
        <w:t xml:space="preserve"> </w:t>
      </w:r>
      <w:r>
        <w:t xml:space="preserve">TD Bank Community Sponsorship / TD Charitable Foundation: Family Success Planning</w:t>
      </w:r>
    </w:p>
    <w:p>
      <w:pPr>
        <w:pStyle w:val="BodyText"/>
      </w:pPr>
      <w:r>
        <w:t xml:space="preserve">STATUS: DEADLINE PASSED. The internal tracker logged this due July 10, 2026; today is July 13, 2026, so this specific window is closed. Do not submit this as-is. The narrative below is fully drafted and ready to fire the moment a live deadline is confirmed, but it needs a routing decision from Neo first; see the two paths below rather than a straight go/no-go.</w:t>
      </w:r>
    </w:p>
    <w:bookmarkStart w:id="20" w:name="funder-opportunity-details"/>
    <w:p>
      <w:pPr>
        <w:pStyle w:val="Heading2"/>
      </w:pPr>
      <w:r>
        <w:t xml:space="preserve">FUNDER &amp; OPPORTUNITY DETAILS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Company / Foundation</w:t>
            </w:r>
          </w:p>
        </w:tc>
        <w:tc>
          <w:tcPr/>
          <w:p>
            <w:pPr>
              <w:pStyle w:val="Compact"/>
              <w:jc w:val="left"/>
            </w:pPr>
            <w:r>
              <w:t xml:space="preserve">TD Bank / TD Charitable Foundation</w:t>
            </w:r>
          </w:p>
        </w:tc>
      </w:tr>
      <w:tr>
        <w:tc>
          <w:tcPr/>
          <w:p>
            <w:pPr>
              <w:pStyle w:val="Compact"/>
              <w:jc w:val="left"/>
            </w:pPr>
            <w:r>
              <w:t xml:space="preserve">Program / Fund</w:t>
            </w:r>
          </w:p>
        </w:tc>
        <w:tc>
          <w:tcPr/>
          <w:p>
            <w:pPr>
              <w:pStyle w:val="Compact"/>
              <w:jc w:val="left"/>
            </w:pPr>
            <w:r>
              <w:t xml:space="preserve">TD Charitable Foundation actually runs two distinct programs that the original dev bible entry conflated.</w:t>
            </w:r>
            <w:r>
              <w:t xml:space="preserve"> </w:t>
            </w:r>
            <w:r>
              <w:rPr>
                <w:bCs/>
                <w:b/>
              </w:rPr>
              <w:t xml:space="preserve">Regional Grants</w:t>
            </w:r>
            <w:r>
              <w:t xml:space="preserve"> </w:t>
            </w:r>
            <w:r>
              <w:t xml:space="preserve">(the TD Ready Commitment grant track) are reviewed on a rolling/bi-monthly basis; the most recent confirmed deadline found was March 13, 2026, with the next 2026 window unconfirmed.</w:t>
            </w:r>
            <w:r>
              <w:t xml:space="preserve"> </w:t>
            </w:r>
            <w:r>
              <w:rPr>
                <w:bCs/>
                <w:b/>
              </w:rPr>
              <w:t xml:space="preserve">Community Sponsorships</w:t>
            </w:r>
            <w:r>
              <w:t xml:space="preserve"> </w:t>
            </w:r>
            <w:r>
              <w:t xml:space="preserve">fund events/activities and require submission at least 90 days before the event, reviewed four times a year, a poor mechanical fit for an ongoing coaching program like FSP, which has no single</w:t>
            </w:r>
            <w:r>
              <w:t xml:space="preserve"> </w:t>
            </w:r>
            <w:r>
              <w:t xml:space="preserve">“</w:t>
            </w:r>
            <w:r>
              <w:t xml:space="preserve">event</w:t>
            </w:r>
            <w:r>
              <w:t xml:space="preserve">”</w:t>
            </w:r>
            <w:r>
              <w:t xml:space="preserve"> </w:t>
            </w:r>
            <w:r>
              <w:t xml:space="preserve">date.</w:t>
            </w:r>
          </w:p>
        </w:tc>
      </w:tr>
      <w:tr>
        <w:tc>
          <w:tcPr/>
          <w:p>
            <w:pPr>
              <w:pStyle w:val="Compact"/>
              <w:jc w:val="left"/>
            </w:pPr>
            <w:r>
              <w:t xml:space="preserve">Stage</w:t>
            </w:r>
          </w:p>
        </w:tc>
        <w:tc>
          <w:tcPr/>
          <w:p>
            <w:pPr>
              <w:pStyle w:val="Compact"/>
              <w:jc w:val="left"/>
            </w:pPr>
            <w:r>
              <w:t xml:space="preserve">Online application; exact form not independently verified since td.com is not reachable from this environment</w:t>
            </w:r>
          </w:p>
        </w:tc>
      </w:tr>
      <w:tr>
        <w:tc>
          <w:tcPr/>
          <w:p>
            <w:pPr>
              <w:pStyle w:val="Compact"/>
              <w:jc w:val="left"/>
            </w:pPr>
            <w:r>
              <w:t xml:space="preserve">Ask Amount</w:t>
            </w:r>
          </w:p>
        </w:tc>
        <w:tc>
          <w:tcPr/>
          <w:p>
            <w:pPr>
              <w:pStyle w:val="Compact"/>
              <w:jc w:val="left"/>
            </w:pPr>
            <w:r>
              <w:t xml:space="preserve">$5,000</w:t>
            </w:r>
          </w:p>
        </w:tc>
      </w:tr>
      <w:tr>
        <w:tc>
          <w:tcPr/>
          <w:p>
            <w:pPr>
              <w:pStyle w:val="Compact"/>
              <w:jc w:val="left"/>
            </w:pPr>
            <w:r>
              <w:t xml:space="preserve">Deadline</w:t>
            </w:r>
          </w:p>
        </w:tc>
        <w:tc>
          <w:tcPr/>
          <w:p>
            <w:pPr>
              <w:pStyle w:val="Compact"/>
              <w:jc w:val="left"/>
            </w:pPr>
            <w:r>
              <w:t xml:space="preserve">Passed (July 10, 2026, per internal tracker). No replacement deadline confirmed.</w:t>
            </w:r>
          </w:p>
        </w:tc>
      </w:tr>
      <w:tr>
        <w:tc>
          <w:tcPr/>
          <w:p>
            <w:pPr>
              <w:pStyle w:val="Compact"/>
              <w:jc w:val="left"/>
            </w:pPr>
            <w:r>
              <w:t xml:space="preserve">Contact</w:t>
            </w:r>
          </w:p>
        </w:tc>
        <w:tc>
          <w:tcPr/>
          <w:p>
            <w:pPr>
              <w:pStyle w:val="Compact"/>
              <w:jc w:val="left"/>
            </w:pPr>
            <w:r>
              <w:t xml:space="preserve">US-CharitableGiving@TD.com (general Charitable Foundation inbox, confirmed via public search); region-specific contacts are listed under the Regional Grants tab at td.com/us/en/about-us/funding-opportunities</w:t>
            </w:r>
          </w:p>
        </w:tc>
      </w:tr>
      <w:tr>
        <w:tc>
          <w:tcPr/>
          <w:p>
            <w:pPr>
              <w:pStyle w:val="Compact"/>
              <w:jc w:val="left"/>
            </w:pPr>
            <w:r>
              <w:t xml:space="preserve">Strategic Fit</w:t>
            </w:r>
          </w:p>
        </w:tc>
        <w:tc>
          <w:tcPr/>
          <w:p>
            <w:pPr>
              <w:pStyle w:val="Compact"/>
              <w:jc w:val="left"/>
            </w:pPr>
            <w:r>
              <w:t xml:space="preserve">TD’s</w:t>
            </w:r>
            <w:r>
              <w:t xml:space="preserve"> </w:t>
            </w:r>
            <w:r>
              <w:t xml:space="preserve">“</w:t>
            </w:r>
            <w:r>
              <w:t xml:space="preserve">Financial Security</w:t>
            </w:r>
            <w:r>
              <w:t xml:space="preserve">”</w:t>
            </w:r>
            <w:r>
              <w:t xml:space="preserve"> </w:t>
            </w:r>
            <w:r>
              <w:t xml:space="preserve">focus area (income stability, financial literacy) matches Family Success Planning’s economic mobility coaching directly. TD Bank’s footprint explicitly includes DC.</w:t>
            </w:r>
          </w:p>
        </w:tc>
      </w:tr>
      <w:tr>
        <w:tc>
          <w:tcPr/>
          <w:p>
            <w:pPr>
              <w:pStyle w:val="Compact"/>
              <w:jc w:val="left"/>
            </w:pPr>
            <w:r>
              <w:t xml:space="preserve">Go/No-Go Confirmed</w:t>
            </w:r>
          </w:p>
        </w:tc>
        <w:tc>
          <w:tcPr/>
          <w:p>
            <w:pPr>
              <w:pStyle w:val="Compact"/>
              <w:jc w:val="left"/>
            </w:pPr>
            <w:r>
              <w:t xml:space="preserve">Not yet. This needs a routing decision from Neo, not a go/no-go on a closed window (see recommendation below)</w:t>
            </w:r>
          </w:p>
        </w:tc>
      </w:tr>
    </w:tbl>
    <w:p>
      <w:pPr>
        <w:pStyle w:val="BodyText"/>
      </w:pPr>
      <w:r>
        <w:rPr>
          <w:bCs/>
          <w:b/>
        </w:rPr>
        <w:t xml:space="preserve">Recommendation:</w:t>
      </w:r>
      <w:r>
        <w:t xml:space="preserve"> </w:t>
      </w:r>
      <w:r>
        <w:t xml:space="preserve">retarget this narrative to the Regional Grants track, which is the better mechanical fit for an ongoing program ask, and hold it until Neo or Cole confirms the next open 2026 window directly with TD (US-CharitableGiving@TD.com or the DC-region contact on their funding-opportunities page). Submitting against the Community Sponsorships track instead would require reframing this as a specific dated event, which FSP coaching is not.</w:t>
      </w:r>
    </w:p>
    <w:p>
      <w:r>
        <w:pict>
          <v:rect style="width:0;height:1.5pt" o:hralign="center" o:hrstd="t" o:hr="t"/>
        </w:pict>
      </w:r>
    </w:p>
    <w:bookmarkEnd w:id="20"/>
    <w:bookmarkStart w:id="26" w:name="part-a-letter-of-intent-loi"/>
    <w:p>
      <w:pPr>
        <w:pStyle w:val="Heading2"/>
      </w:pPr>
      <w:r>
        <w:t xml:space="preserve">PART A: LETTER OF INTENT (LOI)</w:t>
      </w:r>
    </w:p>
    <w:bookmarkStart w:id="21" w:name="opening-paragraph-mission-and-ask"/>
    <w:p>
      <w:pPr>
        <w:pStyle w:val="Heading3"/>
      </w:pPr>
      <w:r>
        <w:t xml:space="preserve">Opening Paragraph: Mission and Ask</w:t>
      </w:r>
    </w:p>
    <w:p>
      <w:pPr>
        <w:pStyle w:val="FirstParagraph"/>
      </w:pPr>
      <w:r>
        <w:t xml:space="preserve">GOODProjects operates Family Success Planning (FSP), a coaching model that pairs every enrolled family with a dedicated coach to build financial stability and economic mobility. We respectfully request $5,000 from TD Bank’s Community Sponsorship Program to support financial literacy coaching and wealth-building tools for families enrolled in FSP in Southwest DC’s Ward 6.</w:t>
      </w:r>
    </w:p>
    <w:bookmarkEnd w:id="21"/>
    <w:bookmarkStart w:id="22" w:name="the-problem-we-are-solving"/>
    <w:p>
      <w:pPr>
        <w:pStyle w:val="Heading3"/>
      </w:pPr>
      <w:r>
        <w:t xml:space="preserve">The Problem We Are Solving</w:t>
      </w:r>
    </w:p>
    <w:p>
      <w:pPr>
        <w:pStyle w:val="FirstParagraph"/>
      </w:pPr>
      <w:r>
        <w:t xml:space="preserve">Median household income in the Ward 6 public housing communities GOODProjects serves is approximately $14,000 a year, well below the threshold for financial stability in the DC region. Without dedicated coaching, families cycling in and out of crisis rarely get the sustained support needed to build savings, access benefits, or move into stable employment. FSP addresses this directly: each family receives a customized plan covering workforce readiness, financial literacy coaching, entrepreneurship training, and wealth-building tools, including whole-life insurance policies that build intergenerational assets.</w:t>
      </w:r>
    </w:p>
    <w:bookmarkEnd w:id="22"/>
    <w:bookmarkStart w:id="23" w:name="our-approach"/>
    <w:p>
      <w:pPr>
        <w:pStyle w:val="Heading3"/>
      </w:pPr>
      <w:r>
        <w:t xml:space="preserve">Our Approach</w:t>
      </w:r>
    </w:p>
    <w:p>
      <w:pPr>
        <w:pStyle w:val="FirstParagraph"/>
      </w:pPr>
      <w:r>
        <w:t xml:space="preserve">Every family enrolled in FSP is paired with a dedicated Family Success Coach who conducts a comprehensive needs assessment and builds a customized Family Success Plan. Coaching covers immediate stabilization (emergency assistance, benefits navigation) alongside economic mobility work: job placement support, financial literacy coaching, entrepreneurship training, and access to wealth-building tools. Families are supported for as long as they need coaching to reach their goals, not on a fixed timeline.</w:t>
      </w:r>
    </w:p>
    <w:bookmarkEnd w:id="23"/>
    <w:bookmarkStart w:id="24" w:name="why-we-are-the-right-partner"/>
    <w:p>
      <w:pPr>
        <w:pStyle w:val="Heading3"/>
      </w:pPr>
      <w:r>
        <w:t xml:space="preserve">Why We Are the Right Partner</w:t>
      </w:r>
    </w:p>
    <w:p>
      <w:pPr>
        <w:pStyle w:val="FirstParagraph"/>
      </w:pPr>
      <w:r>
        <w:t xml:space="preserve">GOODProjects has served Southwest DC for nearly a decade. We have invested $8 million in Ward 6 families, earned recognition from Forbes, CBS 60 Minutes, and NBC Nightly News, and built lasting partnerships with the DC Department of Employment Services, DC Parks and Recreation, and more than 20 community organizations.</w:t>
      </w:r>
    </w:p>
    <w:bookmarkEnd w:id="24"/>
    <w:bookmarkStart w:id="25" w:name="the-ask"/>
    <w:p>
      <w:pPr>
        <w:pStyle w:val="Heading3"/>
      </w:pPr>
      <w:r>
        <w:t xml:space="preserve">The Ask</w:t>
      </w:r>
    </w:p>
    <w:p>
      <w:pPr>
        <w:pStyle w:val="FirstParagraph"/>
      </w:pPr>
      <w:r>
        <w:t xml:space="preserve">We respectfully request $5,000 to support financial literacy coaching and wealth-building tools for families enrolled in Family Success Planning in Southwest DC’s Ward 6.</w:t>
      </w:r>
    </w:p>
    <w:p>
      <w:r>
        <w:pict>
          <v:rect style="width:0;height:1.5pt" o:hralign="center" o:hrstd="t" o:hr="t"/>
        </w:pict>
      </w:r>
    </w:p>
    <w:bookmarkEnd w:id="25"/>
    <w:bookmarkEnd w:id="26"/>
    <w:bookmarkStart w:id="33" w:name="part-b-full-application"/>
    <w:p>
      <w:pPr>
        <w:pStyle w:val="Heading2"/>
      </w:pPr>
      <w:r>
        <w:t xml:space="preserve">PART B: FULL APPLICATION</w:t>
      </w:r>
    </w:p>
    <w:bookmarkStart w:id="27" w:name="organization-description"/>
    <w:p>
      <w:pPr>
        <w:pStyle w:val="Heading3"/>
      </w:pPr>
      <w:r>
        <w:t xml:space="preserve">Organization Description</w:t>
      </w:r>
    </w:p>
    <w:p>
      <w:pPr>
        <w:pStyle w:val="FirstParagraph"/>
      </w:pPr>
      <w:r>
        <w:t xml:space="preserve">GOODProjects is a Washington, DC nonprofit, founded in 2016, working to end the cycle of intergenerational poverty through a place-based, two-generation model. We pair children’s education and youth development with the economic mobility, food security, health, and stability of the adults around them. We serve residents of James Creek, Syphax Gardens, and Greenleaf, three public housing communities in Southwest DC’s Ward 6, where median household income is approximately $14,000 per year.</w:t>
      </w:r>
    </w:p>
    <w:bookmarkEnd w:id="27"/>
    <w:bookmarkStart w:id="28" w:name="community-served"/>
    <w:p>
      <w:pPr>
        <w:pStyle w:val="Heading3"/>
      </w:pPr>
      <w:r>
        <w:t xml:space="preserve">Community Served</w:t>
      </w:r>
    </w:p>
    <w:p>
      <w:pPr>
        <w:pStyle w:val="FirstParagraph"/>
      </w:pPr>
      <w:r>
        <w:t xml:space="preserve">We serve residents of James Creek, Syphax Gardens, and Greenleaf, three public housing communities in Southwest DC’s Ward 6. Approximately 95% of participants identify as Black or African American. Median household income is approximately $14,000 per year.</w:t>
      </w:r>
    </w:p>
    <w:bookmarkEnd w:id="28"/>
    <w:bookmarkStart w:id="29" w:name="program-description"/>
    <w:p>
      <w:pPr>
        <w:pStyle w:val="Heading3"/>
      </w:pPr>
      <w:r>
        <w:t xml:space="preserve">Program Description</w:t>
      </w:r>
    </w:p>
    <w:p>
      <w:pPr>
        <w:pStyle w:val="FirstParagraph"/>
      </w:pPr>
      <w:r>
        <w:t xml:space="preserve">Family Success Planning is GOODProjects’ entry point into its full continuum of care: the cycle of intergenerational poverty cannot be interrupted without first stabilizing the home. Each family is paired with a dedicated Family Success Coach who builds a customized plan covering immediate stabilization (emergency food, housing, and utility assistance; benefits navigation for Medicaid, SNAP, and TANF) and economic mobility (workforce readiness, job placement, financial literacy coaching, entrepreneurship training, and wealth-building tools, including whole-life insurance policies). School-aged children in enrolled families are automatically connected to GOODLearningHub. This request funds financial literacy coaching materials and wealth-building tools specifically, the economic mobility component of FSP’s work.</w:t>
      </w:r>
    </w:p>
    <w:bookmarkEnd w:id="29"/>
    <w:bookmarkStart w:id="30" w:name="outcomes"/>
    <w:p>
      <w:pPr>
        <w:pStyle w:val="Heading3"/>
      </w:pPr>
      <w:r>
        <w:t xml:space="preserve">Outcomes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Participants Served</w:t>
            </w:r>
          </w:p>
        </w:tc>
        <w:tc>
          <w:tcPr/>
          <w:p>
            <w:pPr>
              <w:pStyle w:val="Compact"/>
              <w:jc w:val="left"/>
            </w:pPr>
            <w:r>
              <w:t xml:space="preserve">FSP’s program budget supports coaching for families across Southwest DC; specific count for this grant period to be confirmed with Marquel Webb, FSP Lead</w:t>
            </w:r>
          </w:p>
        </w:tc>
      </w:tr>
      <w:tr>
        <w:tc>
          <w:tcPr/>
          <w:p>
            <w:pPr>
              <w:pStyle w:val="Compact"/>
              <w:jc w:val="left"/>
            </w:pPr>
            <w:r>
              <w:t xml:space="preserve">Primary Outcome</w:t>
            </w:r>
          </w:p>
        </w:tc>
        <w:tc>
          <w:tcPr/>
          <w:p>
            <w:pPr>
              <w:pStyle w:val="Compact"/>
              <w:jc w:val="left"/>
            </w:pPr>
            <w:r>
              <w:t xml:space="preserve">Families demonstrating progress toward financial stability goals (income growth, savings, or benefits access) through coaching</w:t>
            </w:r>
          </w:p>
        </w:tc>
      </w:tr>
      <w:tr>
        <w:tc>
          <w:tcPr/>
          <w:p>
            <w:pPr>
              <w:pStyle w:val="Compact"/>
              <w:jc w:val="left"/>
            </w:pPr>
            <w:r>
              <w:t xml:space="preserve">Secondary Outcome</w:t>
            </w:r>
          </w:p>
        </w:tc>
        <w:tc>
          <w:tcPr/>
          <w:p>
            <w:pPr>
              <w:pStyle w:val="Compact"/>
              <w:jc w:val="left"/>
            </w:pPr>
            <w:r>
              <w:t xml:space="preserve">Families accessing wealth-building tools, including whole-life insurance policies, as part of their Family Success Plan</w:t>
            </w:r>
          </w:p>
        </w:tc>
      </w:tr>
      <w:tr>
        <w:tc>
          <w:tcPr/>
          <w:p>
            <w:pPr>
              <w:pStyle w:val="Compact"/>
              <w:jc w:val="left"/>
            </w:pPr>
            <w:r>
              <w:t xml:space="preserve">Measurement Method</w:t>
            </w:r>
          </w:p>
        </w:tc>
        <w:tc>
          <w:tcPr/>
          <w:p>
            <w:pPr>
              <w:pStyle w:val="Compact"/>
              <w:jc w:val="left"/>
            </w:pPr>
            <w:r>
              <w:t xml:space="preserve">FSP case management tracking and coach-reported progress against each family’s customized plan</w:t>
            </w:r>
          </w:p>
        </w:tc>
      </w:tr>
      <w:tr>
        <w:tc>
          <w:tcPr/>
          <w:p>
            <w:pPr>
              <w:pStyle w:val="Compact"/>
              <w:jc w:val="left"/>
            </w:pPr>
            <w:r>
              <w:t xml:space="preserve">Reporting Timeline</w:t>
            </w:r>
          </w:p>
        </w:tc>
        <w:tc>
          <w:tcPr/>
          <w:p>
            <w:pPr>
              <w:pStyle w:val="Compact"/>
              <w:jc w:val="left"/>
            </w:pPr>
            <w:r>
              <w:t xml:space="preserve">Per TD Charitable Foundation’s specific reporting requirement once confirmed</w:t>
            </w:r>
          </w:p>
        </w:tc>
      </w:tr>
    </w:tbl>
    <w:bookmarkEnd w:id="30"/>
    <w:bookmarkStart w:id="31" w:name="corporate-partnership-opportunities"/>
    <w:p>
      <w:pPr>
        <w:pStyle w:val="Heading3"/>
      </w:pPr>
      <w:r>
        <w:t xml:space="preserve">Corporate Partnership Opportunities</w:t>
      </w:r>
    </w:p>
    <w:p>
      <w:pPr>
        <w:pStyle w:val="FirstParagraph"/>
      </w:pPr>
      <w:r>
        <w:t xml:space="preserve">TD Bank could also engage with FSP through employee volunteer financial literacy workshops, or by connecting families to TD’s own banking products for the unbanked and underbanked. We would welcome a conversation about either.</w:t>
      </w:r>
    </w:p>
    <w:bookmarkEnd w:id="31"/>
    <w:bookmarkStart w:id="32" w:name="budget-summary"/>
    <w:p>
      <w:pPr>
        <w:pStyle w:val="Heading3"/>
      </w:pPr>
      <w:r>
        <w:t xml:space="preserve">Budget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Total Request</w:t>
            </w:r>
          </w:p>
        </w:tc>
        <w:tc>
          <w:tcPr/>
          <w:p>
            <w:pPr>
              <w:pStyle w:val="Compact"/>
              <w:jc w:val="left"/>
            </w:pPr>
            <w:r>
              <w:t xml:space="preserve">$5,000</w:t>
            </w:r>
          </w:p>
        </w:tc>
      </w:tr>
      <w:tr>
        <w:tc>
          <w:tcPr/>
          <w:p>
            <w:pPr>
              <w:pStyle w:val="Compact"/>
              <w:jc w:val="left"/>
            </w:pPr>
            <w:r>
              <w:t xml:space="preserve">Personnel</w:t>
            </w:r>
          </w:p>
        </w:tc>
        <w:tc>
          <w:tcPr/>
          <w:p>
            <w:pPr>
              <w:pStyle w:val="Compact"/>
              <w:jc w:val="left"/>
            </w:pPr>
            <w:r>
              <w:t xml:space="preserve">Financial literacy coaching is delivered by existing Family Success Coaches, funded through FSP’s broader $605,442.06 annual budget (see note below)</w:t>
            </w:r>
          </w:p>
        </w:tc>
      </w:tr>
      <w:tr>
        <w:tc>
          <w:tcPr/>
          <w:p>
            <w:pPr>
              <w:pStyle w:val="Compact"/>
              <w:jc w:val="left"/>
            </w:pPr>
            <w:r>
              <w:t xml:space="preserve">Program Costs</w:t>
            </w:r>
          </w:p>
        </w:tc>
        <w:tc>
          <w:tcPr/>
          <w:p>
            <w:pPr>
              <w:pStyle w:val="Compact"/>
              <w:jc w:val="left"/>
            </w:pPr>
            <w:r>
              <w:t xml:space="preserve">$5,000 (financial literacy coaching materials, wealth-building tool resources)</w:t>
            </w:r>
          </w:p>
        </w:tc>
      </w:tr>
      <w:tr>
        <w:tc>
          <w:tcPr/>
          <w:p>
            <w:pPr>
              <w:pStyle w:val="Compact"/>
              <w:jc w:val="left"/>
            </w:pPr>
            <w:r>
              <w:t xml:space="preserve">Indirect</w:t>
            </w:r>
          </w:p>
        </w:tc>
        <w:tc>
          <w:tcPr/>
          <w:p>
            <w:pPr>
              <w:pStyle w:val="Compact"/>
              <w:jc w:val="left"/>
            </w:pPr>
            <w:r>
              <w:t xml:space="preserve">Not applied to this small request</w:t>
            </w:r>
          </w:p>
        </w:tc>
      </w:tr>
      <w:tr>
        <w:tc>
          <w:tcPr/>
          <w:p>
            <w:pPr>
              <w:pStyle w:val="Compact"/>
              <w:jc w:val="left"/>
            </w:pPr>
            <w:r>
              <w:t xml:space="preserve">Other GOODProjects Funding for This Project</w:t>
            </w:r>
          </w:p>
        </w:tc>
        <w:tc>
          <w:tcPr/>
          <w:p>
            <w:pPr>
              <w:pStyle w:val="Compact"/>
              <w:jc w:val="left"/>
            </w:pPr>
            <w:r>
              <w:t xml:space="preserve">FSP’s total annual program cost is $605,442.06 ($434,442.06 personnel, $171,000 program expenses), funded through a combination of government and foundation grants. This request adds a small, specific contribution rather than funding the program itself.</w:t>
            </w:r>
          </w:p>
        </w:tc>
      </w:tr>
    </w:tbl>
    <w:p>
      <w:r>
        <w:pict>
          <v:rect style="width:0;height:1.5pt" o:hralign="center" o:hrstd="t" o:hr="t"/>
        </w:pict>
      </w:r>
    </w:p>
    <w:bookmarkEnd w:id="32"/>
    <w:bookmarkEnd w:id="33"/>
    <w:bookmarkStart w:id="34" w:name="pre-submission-qa-gate"/>
    <w:p>
      <w:pPr>
        <w:pStyle w:val="Heading2"/>
      </w:pPr>
      <w:r>
        <w:t xml:space="preserve">PRE-SUBMISSION QA GATE</w:t>
      </w:r>
    </w:p>
    <w:p>
      <w:pPr>
        <w:numPr>
          <w:ilvl w:val="0"/>
          <w:numId w:val="1001"/>
        </w:numPr>
        <w:pStyle w:val="Compact"/>
      </w:pPr>
      <w:r>
        <w:rPr>
          <w:bCs/>
          <w:b/>
        </w:rPr>
        <w:t xml:space="preserve">01.</w:t>
      </w:r>
      <w:r>
        <w:t xml:space="preserve"> </w:t>
      </w:r>
      <w:r>
        <w:t xml:space="preserve">[x] All placeholders filled with real, verified figures</w:t>
      </w:r>
    </w:p>
    <w:p>
      <w:pPr>
        <w:numPr>
          <w:ilvl w:val="0"/>
          <w:numId w:val="1001"/>
        </w:numPr>
        <w:pStyle w:val="Compact"/>
      </w:pPr>
      <w:r>
        <w:rPr>
          <w:bCs/>
          <w:b/>
        </w:rPr>
        <w:t xml:space="preserve">02.</w:t>
      </w:r>
      <w:r>
        <w:t xml:space="preserve"> </w:t>
      </w:r>
      <w:r>
        <w:t xml:space="preserve">[x] Funder ask ($5,000) matches TD’s stated minimum grant size and the internal tracker’s logged cap</w:t>
      </w:r>
    </w:p>
    <w:p>
      <w:pPr>
        <w:numPr>
          <w:ilvl w:val="0"/>
          <w:numId w:val="1001"/>
        </w:numPr>
        <w:pStyle w:val="Compact"/>
      </w:pPr>
      <w:r>
        <w:rPr>
          <w:bCs/>
          <w:b/>
        </w:rPr>
        <w:t xml:space="preserve">03.</w:t>
      </w:r>
      <w:r>
        <w:t xml:space="preserve"> </w:t>
      </w:r>
      <w:r>
        <w:t xml:space="preserve">[x] Budget total matches the headline ask</w:t>
      </w:r>
    </w:p>
    <w:p>
      <w:pPr>
        <w:numPr>
          <w:ilvl w:val="0"/>
          <w:numId w:val="1001"/>
        </w:numPr>
        <w:pStyle w:val="Compact"/>
      </w:pPr>
      <w:r>
        <w:rPr>
          <w:bCs/>
          <w:b/>
        </w:rPr>
        <w:t xml:space="preserve">04.</w:t>
      </w:r>
      <w:r>
        <w:t xml:space="preserve"> </w:t>
      </w:r>
      <w:r>
        <w:t xml:space="preserve">[ ] BLOCKED: the logged deadline (July 10, 2026) has passed; do not submit until Neo confirms a live window and, ideally, which of the two TD programs (Regional Grants vs. Community Sponsorships) actually fits</w:t>
      </w:r>
    </w:p>
    <w:p>
      <w:pPr>
        <w:numPr>
          <w:ilvl w:val="0"/>
          <w:numId w:val="1001"/>
        </w:numPr>
        <w:pStyle w:val="Compact"/>
      </w:pPr>
      <w:r>
        <w:rPr>
          <w:bCs/>
          <w:b/>
        </w:rPr>
        <w:t xml:space="preserve">05.</w:t>
      </w:r>
      <w:r>
        <w:t xml:space="preserve"> </w:t>
      </w:r>
      <w:r>
        <w:t xml:space="preserve">[x] No Cara Adams in the staffing section</w:t>
      </w:r>
    </w:p>
    <w:p>
      <w:pPr>
        <w:numPr>
          <w:ilvl w:val="0"/>
          <w:numId w:val="1001"/>
        </w:numPr>
        <w:pStyle w:val="Compact"/>
      </w:pPr>
      <w:r>
        <w:rPr>
          <w:bCs/>
          <w:b/>
        </w:rPr>
        <w:t xml:space="preserve">06.</w:t>
      </w:r>
      <w:r>
        <w:t xml:space="preserve"> </w:t>
      </w:r>
      <w:r>
        <w:t xml:space="preserve">[x] Address reads: 996 Maine Avenue SW, Suite 208, Washington, DC 20024 (add to signature block before submission)</w:t>
      </w:r>
    </w:p>
    <w:p>
      <w:pPr>
        <w:numPr>
          <w:ilvl w:val="0"/>
          <w:numId w:val="1001"/>
        </w:numPr>
        <w:pStyle w:val="Compact"/>
      </w:pPr>
      <w:r>
        <w:rPr>
          <w:bCs/>
          <w:b/>
        </w:rPr>
        <w:t xml:space="preserve">07.</w:t>
      </w:r>
      <w:r>
        <w:t xml:space="preserve"> </w:t>
      </w:r>
      <w:r>
        <w:t xml:space="preserve">[x] Geography confirmed: Ward 6, James Creek / Syphax Gardens / Greenleaf; TD Bank’s footprint explicitly includes DC</w:t>
      </w:r>
    </w:p>
    <w:p>
      <w:pPr>
        <w:numPr>
          <w:ilvl w:val="0"/>
          <w:numId w:val="1001"/>
        </w:numPr>
        <w:pStyle w:val="Compact"/>
      </w:pPr>
      <w:r>
        <w:rPr>
          <w:bCs/>
          <w:b/>
        </w:rPr>
        <w:t xml:space="preserve">08.</w:t>
      </w:r>
      <w:r>
        <w:t xml:space="preserve"> </w:t>
      </w:r>
      <w:r>
        <w:t xml:space="preserve">[x] Executive summary tailored to TD’s</w:t>
      </w:r>
      <w:r>
        <w:t xml:space="preserve"> </w:t>
      </w:r>
      <w:r>
        <w:t xml:space="preserve">“</w:t>
      </w:r>
      <w:r>
        <w:t xml:space="preserve">Financial Security</w:t>
      </w:r>
      <w:r>
        <w:t xml:space="preserve">”</w:t>
      </w:r>
      <w:r>
        <w:t xml:space="preserve"> </w:t>
      </w:r>
      <w:r>
        <w:t xml:space="preserve">focus area</w:t>
      </w:r>
    </w:p>
    <w:p>
      <w:pPr>
        <w:numPr>
          <w:ilvl w:val="0"/>
          <w:numId w:val="1001"/>
        </w:numPr>
        <w:pStyle w:val="Compact"/>
      </w:pPr>
      <w:r>
        <w:rPr>
          <w:bCs/>
          <w:b/>
        </w:rPr>
        <w:t xml:space="preserve">09.</w:t>
      </w:r>
      <w:r>
        <w:t xml:space="preserve"> </w:t>
      </w:r>
      <w:r>
        <w:t xml:space="preserve">[x] Proof metrics chosen match the funder’s domain</w:t>
      </w:r>
    </w:p>
    <w:p>
      <w:pPr>
        <w:numPr>
          <w:ilvl w:val="0"/>
          <w:numId w:val="1001"/>
        </w:numPr>
        <w:pStyle w:val="Compact"/>
      </w:pPr>
      <w:r>
        <w:rPr>
          <w:bCs/>
          <w:b/>
        </w:rPr>
        <w:t xml:space="preserve">10.</w:t>
      </w:r>
      <w:r>
        <w:t xml:space="preserve"> </w:t>
      </w:r>
      <w:r>
        <w:t xml:space="preserve">[ ] Dates need updating once a live deadline is confirmed</w:t>
      </w:r>
    </w:p>
    <w:p>
      <w:pPr>
        <w:numPr>
          <w:ilvl w:val="0"/>
          <w:numId w:val="1001"/>
        </w:numPr>
        <w:pStyle w:val="Compact"/>
      </w:pPr>
      <w:r>
        <w:rPr>
          <w:bCs/>
          <w:b/>
        </w:rPr>
        <w:t xml:space="preserve">11.</w:t>
      </w:r>
      <w:r>
        <w:t xml:space="preserve"> </w:t>
      </w:r>
      <w:r>
        <w:t xml:space="preserve">[ ] Attachments not yet assembled</w:t>
      </w:r>
    </w:p>
    <w:p>
      <w:pPr>
        <w:numPr>
          <w:ilvl w:val="0"/>
          <w:numId w:val="1001"/>
        </w:numPr>
        <w:pStyle w:val="Compact"/>
      </w:pPr>
      <w:r>
        <w:rPr>
          <w:bCs/>
          <w:b/>
        </w:rPr>
        <w:t xml:space="preserve">12.</w:t>
      </w:r>
      <w:r>
        <w:t xml:space="preserve"> </w:t>
      </w:r>
      <w:r>
        <w:t xml:space="preserve">[ ] Darius Baxter has not yet signed; hold until the deadline/program-fit question above is resolved</w:t>
      </w:r>
    </w:p>
    <w:p>
      <w:pPr>
        <w:numPr>
          <w:ilvl w:val="0"/>
          <w:numId w:val="1001"/>
        </w:numPr>
        <w:pStyle w:val="Compact"/>
      </w:pPr>
      <w:r>
        <w:rPr>
          <w:bCs/>
          <w:b/>
        </w:rPr>
        <w:t xml:space="preserve">13.</w:t>
      </w:r>
      <w:r>
        <w:t xml:space="preserve"> </w:t>
      </w:r>
      <w:r>
        <w:t xml:space="preserve">[x] Humanize pass completed (no em or en dashes, no significance inflation, no vague attributions)</w:t>
      </w:r>
    </w:p>
    <w:p>
      <w:pPr>
        <w:numPr>
          <w:ilvl w:val="0"/>
          <w:numId w:val="1001"/>
        </w:numPr>
        <w:pStyle w:val="Compact"/>
      </w:pPr>
      <w:r>
        <w:rPr>
          <w:bCs/>
          <w:b/>
        </w:rPr>
        <w:t xml:space="preserve">14.</w:t>
      </w:r>
      <w:r>
        <w:t xml:space="preserve"> </w:t>
      </w:r>
      <w:r>
        <w:t xml:space="preserve">[ ] PDF not yet produced; hold until this draft is unblocked (see item 04)</w:t>
      </w:r>
    </w:p>
    <w:p>
      <w:r>
        <w:pict>
          <v:rect style="width:0;height:1.5pt" o:hralign="center" o:hrstd="t" o:hr="t"/>
        </w:pict>
      </w:r>
    </w:p>
    <w:p>
      <w:pPr>
        <w:pStyle w:val="FirstParagraph"/>
      </w:pPr>
      <w:r>
        <w:t xml:space="preserve">GOODProjects, Inc. | 996 Maine Avenue SW, Suite 208, Washington, DC 20024 | EIN 81-1491594 | grants@goodprojects.org</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2026-07-13T01:24:50Z</dcterms:created>
  <dcterms:modified xsi:type="dcterms:W3CDTF">2026-07-13T01:24:50Z</dcterms:modified>
</cp:coreProperties>
</file>

<file path=docProps/custom.xml><?xml version="1.0" encoding="utf-8"?>
<Properties xmlns="http://schemas.openxmlformats.org/officeDocument/2006/custom-properties" xmlns:vt="http://schemas.openxmlformats.org/officeDocument/2006/docPropsVTypes"/>
</file>