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GOODProjects</w:t>
      </w:r>
      <w:r>
        <w:t xml:space="preserve"> </w:t>
      </w:r>
      <w:r>
        <w:t xml:space="preserve">DC Government Grant Draft</w:t>
      </w:r>
      <w:r>
        <w:t xml:space="preserve"> </w:t>
      </w:r>
      <w:r>
        <w:t xml:space="preserve">Events DC Community Grant Program, FY2026: GOODSports</w:t>
      </w:r>
    </w:p>
    <w:p>
      <w:pPr>
        <w:pStyle w:val="BodyText"/>
      </w:pPr>
      <w:r>
        <w:t xml:space="preserve">STATUS: Draft for Neo’s go/no-go review. Not yet submitted. One required attachment is missing (see Required Attachments Checklist below) and must be resolved before this can go out.</w:t>
      </w:r>
    </w:p>
    <w:bookmarkStart w:id="20" w:name="solicitation-details"/>
    <w:p>
      <w:pPr>
        <w:pStyle w:val="Heading2"/>
      </w:pPr>
      <w:r>
        <w:t xml:space="preserve">SOLICITATION DETAILS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Agency</w:t>
            </w:r>
          </w:p>
        </w:tc>
        <w:tc>
          <w:tcPr/>
          <w:p>
            <w:pPr>
              <w:pStyle w:val="Compact"/>
              <w:jc w:val="left"/>
            </w:pPr>
            <w:r>
              <w:t xml:space="preserve">Events DC</w:t>
            </w:r>
          </w:p>
        </w:tc>
      </w:tr>
      <w:tr>
        <w:tc>
          <w:tcPr/>
          <w:p>
            <w:pPr>
              <w:pStyle w:val="Compact"/>
              <w:jc w:val="left"/>
            </w:pPr>
            <w:r>
              <w:t xml:space="preserve">Program / RFA</w:t>
            </w:r>
          </w:p>
        </w:tc>
        <w:tc>
          <w:tcPr/>
          <w:p>
            <w:pPr>
              <w:pStyle w:val="Compact"/>
              <w:jc w:val="left"/>
            </w:pPr>
            <w:r>
              <w:t xml:space="preserve">FY2026 Community Grant Program (supports youth sports and performing/cultural arts organizations in DC)</w:t>
            </w:r>
          </w:p>
        </w:tc>
      </w:tr>
      <w:tr>
        <w:tc>
          <w:tcPr/>
          <w:p>
            <w:pPr>
              <w:pStyle w:val="Compact"/>
              <w:jc w:val="left"/>
            </w:pPr>
            <w:r>
              <w:t xml:space="preserve">Ask Amount</w:t>
            </w:r>
          </w:p>
        </w:tc>
        <w:tc>
          <w:tcPr/>
          <w:p>
            <w:pPr>
              <w:pStyle w:val="Compact"/>
              <w:jc w:val="left"/>
            </w:pPr>
            <w:r>
              <w:t xml:space="preserve">$18,000</w:t>
            </w:r>
          </w:p>
        </w:tc>
      </w:tr>
      <w:tr>
        <w:tc>
          <w:tcPr/>
          <w:p>
            <w:pPr>
              <w:pStyle w:val="Compact"/>
              <w:jc w:val="left"/>
            </w:pPr>
            <w:r>
              <w:t xml:space="preserve">Deadline</w:t>
            </w:r>
          </w:p>
        </w:tc>
        <w:tc>
          <w:tcPr/>
          <w:p>
            <w:pPr>
              <w:pStyle w:val="Compact"/>
              <w:jc w:val="left"/>
            </w:pPr>
            <w:r>
              <w:t xml:space="preserve">August 3, 2026 (per internal grant tracker, dev bible 2026 tab, row 224)</w:t>
            </w:r>
          </w:p>
        </w:tc>
      </w:tr>
      <w:tr>
        <w:tc>
          <w:tcPr/>
          <w:p>
            <w:pPr>
              <w:pStyle w:val="Compact"/>
              <w:jc w:val="left"/>
            </w:pPr>
            <w:r>
              <w:t xml:space="preserve">Submission Method</w:t>
            </w:r>
          </w:p>
        </w:tc>
        <w:tc>
          <w:tcPr/>
          <w:p>
            <w:pPr>
              <w:pStyle w:val="Compact"/>
              <w:jc w:val="left"/>
            </w:pPr>
            <w:r>
              <w:t xml:space="preserve">Online form at eventsdc.com/community-grant-form (per public program page). Direct site access was not available from this environment to confirm portal mechanics beyond the published form URL, so re-check before submission.</w:t>
            </w:r>
          </w:p>
        </w:tc>
      </w:tr>
      <w:tr>
        <w:tc>
          <w:tcPr/>
          <w:p>
            <w:pPr>
              <w:pStyle w:val="Compact"/>
              <w:jc w:val="left"/>
            </w:pPr>
            <w:r>
              <w:t xml:space="preserve">Program Officer</w:t>
            </w:r>
          </w:p>
        </w:tc>
        <w:tc>
          <w:tcPr/>
          <w:p>
            <w:pPr>
              <w:pStyle w:val="Compact"/>
              <w:jc w:val="left"/>
            </w:pPr>
            <w:r>
              <w:t xml:space="preserve">Not listed in the dev bible entry; needs sourcing before submission</w:t>
            </w:r>
          </w:p>
        </w:tc>
      </w:tr>
      <w:tr>
        <w:tc>
          <w:tcPr/>
          <w:p>
            <w:pPr>
              <w:pStyle w:val="Compact"/>
              <w:jc w:val="left"/>
            </w:pPr>
            <w:r>
              <w:t xml:space="preserve">MORCA Registration</w:t>
            </w:r>
          </w:p>
        </w:tc>
        <w:tc>
          <w:tcPr/>
          <w:p>
            <w:pPr>
              <w:pStyle w:val="Compact"/>
              <w:jc w:val="left"/>
            </w:pPr>
            <w:r>
              <w:t xml:space="preserve">Not yet confirmed (Cole)</w:t>
            </w:r>
          </w:p>
        </w:tc>
      </w:tr>
      <w:tr>
        <w:tc>
          <w:tcPr/>
          <w:p>
            <w:pPr>
              <w:pStyle w:val="Compact"/>
              <w:jc w:val="left"/>
            </w:pPr>
            <w:r>
              <w:t xml:space="preserve">Clean Hands Certificate</w:t>
            </w:r>
          </w:p>
        </w:tc>
        <w:tc>
          <w:tcPr/>
          <w:p>
            <w:pPr>
              <w:pStyle w:val="Compact"/>
              <w:jc w:val="left"/>
            </w:pPr>
            <w:r>
              <w:t xml:space="preserve">On file, issued 4/23/2026; confirm still current at submission (certificates typically expire)</w:t>
            </w:r>
          </w:p>
        </w:tc>
      </w:tr>
      <w:tr>
        <w:tc>
          <w:tcPr/>
          <w:p>
            <w:pPr>
              <w:pStyle w:val="Compact"/>
              <w:jc w:val="left"/>
            </w:pPr>
            <w:r>
              <w:t xml:space="preserve">Go/No-Go Confirmed</w:t>
            </w:r>
          </w:p>
        </w:tc>
        <w:tc>
          <w:tcPr/>
          <w:p>
            <w:pPr>
              <w:pStyle w:val="Compact"/>
              <w:jc w:val="left"/>
            </w:pPr>
            <w:r>
              <w:t xml:space="preserve">Not yet. Routing to Neo.</w:t>
            </w:r>
          </w:p>
        </w:tc>
      </w:tr>
    </w:tbl>
    <w:p>
      <w:pPr>
        <w:pStyle w:val="BodyText"/>
      </w:pPr>
      <w:r>
        <w:t xml:space="preserve">Award range confirmed via public search: Events DC’s FY2026 Community Grant Program awards range from a $2,500 minimum to a $25,000 maximum single grant, with $50,000 available per cycle (two cycles/year, $100,000 annually). GOODProjects’ $18,000 ask sits comfortably inside that range.</w:t>
      </w:r>
    </w:p>
    <w:p>
      <w:pPr>
        <w:pStyle w:val="BodyText"/>
      </w:pPr>
      <w:r>
        <w:t xml:space="preserve">VERIFY BEFORE SUBMITTING: Events DC requires either a certified annual financial audit or the most recent Form 990, plus an active DC business license. The audit and 990 are on file; the business license is not yet on file anywhere in GOODProjects’ compliance records. This is a hard requirement and must be resolved before submission. Concrete next step: apply for DC’s Basic Business License (charitable solicitation subtype) through DLCP’s online licensing wizard at mybusiness.dc.gov, which auto-generates the required attachment list. This is an operational task for Cole, not something this draft can resolve on its own.</w:t>
      </w:r>
    </w:p>
    <w:bookmarkEnd w:id="20"/>
    <w:bookmarkStart w:id="26" w:name="scope-of-work-project-narrative"/>
    <w:p>
      <w:pPr>
        <w:pStyle w:val="Heading2"/>
      </w:pPr>
      <w:r>
        <w:t xml:space="preserve">SCOPE OF WORK / PROJECT NARRATIVE</w:t>
      </w:r>
    </w:p>
    <w:bookmarkStart w:id="21" w:name="program-purpose-and-goals"/>
    <w:p>
      <w:pPr>
        <w:pStyle w:val="Heading3"/>
      </w:pPr>
      <w:r>
        <w:t xml:space="preserve">Program Purpose and Goals</w:t>
      </w:r>
    </w:p>
    <w:p>
      <w:pPr>
        <w:pStyle w:val="FirstParagraph"/>
      </w:pPr>
      <w:r>
        <w:t xml:space="preserve">GOODProjects requests $18,000 to deepen GOODSports, the sports and life-skills intervention track within GOODLearningHub, serving Black youth ages 5 to 14 in Southwest DC’s Ward 6 public housing communities. GOODSports uses football, basketball, and dance as vehicles for teamwork, discipline, goal-setting, conflict resolution, and emotional regulation, directly matching Events DC’s Community Grant Program’s focus on youth sports organizations in the District.</w:t>
      </w:r>
    </w:p>
    <w:bookmarkEnd w:id="21"/>
    <w:bookmarkStart w:id="22" w:name="target-population"/>
    <w:p>
      <w:pPr>
        <w:pStyle w:val="Heading3"/>
      </w:pPr>
      <w:r>
        <w:t xml:space="preserve">Target Population</w:t>
      </w:r>
    </w:p>
    <w:p>
      <w:pPr>
        <w:pStyle w:val="FirstParagraph"/>
      </w:pPr>
      <w:r>
        <w:t xml:space="preserve">Residents of James Creek, Syphax Gardens, and Greenleaf public housing communities in Southwest DC’s Ward 6.</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Total Unduplicated Participants</w:t>
            </w:r>
          </w:p>
        </w:tc>
        <w:tc>
          <w:tcPr/>
          <w:p>
            <w:pPr>
              <w:pStyle w:val="Compact"/>
              <w:jc w:val="left"/>
            </w:pPr>
            <w:r>
              <w:t xml:space="preserve">150 in summer (GOODCamp) plus 50 to 100 in afterschool (year-round)</w:t>
            </w:r>
          </w:p>
        </w:tc>
      </w:tr>
      <w:tr>
        <w:tc>
          <w:tcPr/>
          <w:p>
            <w:pPr>
              <w:pStyle w:val="Compact"/>
              <w:jc w:val="left"/>
            </w:pPr>
            <w:r>
              <w:t xml:space="preserve">Age Range</w:t>
            </w:r>
          </w:p>
        </w:tc>
        <w:tc>
          <w:tcPr/>
          <w:p>
            <w:pPr>
              <w:pStyle w:val="Compact"/>
              <w:jc w:val="left"/>
            </w:pPr>
            <w:r>
              <w:t xml:space="preserve">5 to 14</w:t>
            </w:r>
          </w:p>
        </w:tc>
      </w:tr>
      <w:tr>
        <w:tc>
          <w:tcPr/>
          <w:p>
            <w:pPr>
              <w:pStyle w:val="Compact"/>
              <w:jc w:val="left"/>
            </w:pPr>
            <w:r>
              <w:t xml:space="preserve">Primary Demographic</w:t>
            </w:r>
          </w:p>
        </w:tc>
        <w:tc>
          <w:tcPr/>
          <w:p>
            <w:pPr>
              <w:pStyle w:val="Compact"/>
              <w:jc w:val="left"/>
            </w:pPr>
            <w:r>
              <w:t xml:space="preserve">Black / African American (100% of GOODSports participants)</w:t>
            </w:r>
          </w:p>
        </w:tc>
      </w:tr>
      <w:tr>
        <w:tc>
          <w:tcPr/>
          <w:p>
            <w:pPr>
              <w:pStyle w:val="Compact"/>
              <w:jc w:val="left"/>
            </w:pPr>
            <w:r>
              <w:t xml:space="preserve">Income Level</w:t>
            </w:r>
          </w:p>
        </w:tc>
        <w:tc>
          <w:tcPr/>
          <w:p>
            <w:pPr>
              <w:pStyle w:val="Compact"/>
              <w:jc w:val="left"/>
            </w:pPr>
            <w:r>
              <w:t xml:space="preserve">100% below the federal poverty line</w:t>
            </w:r>
          </w:p>
        </w:tc>
      </w:tr>
      <w:tr>
        <w:tc>
          <w:tcPr/>
          <w:p>
            <w:pPr>
              <w:pStyle w:val="Compact"/>
              <w:jc w:val="left"/>
            </w:pPr>
            <w:r>
              <w:t xml:space="preserve">Geographic Area</w:t>
            </w:r>
          </w:p>
        </w:tc>
        <w:tc>
          <w:tcPr/>
          <w:p>
            <w:pPr>
              <w:pStyle w:val="Compact"/>
              <w:jc w:val="left"/>
            </w:pPr>
            <w:r>
              <w:t xml:space="preserve">Ward 6, Southwest DC (King Greenleaf Recreation Center and DCHA Family Enhancement Center)</w:t>
            </w:r>
          </w:p>
        </w:tc>
      </w:tr>
    </w:tbl>
    <w:bookmarkEnd w:id="22"/>
    <w:bookmarkStart w:id="23" w:name="activities-and-deliverables"/>
    <w:p>
      <w:pPr>
        <w:pStyle w:val="Heading3"/>
      </w:pPr>
      <w:r>
        <w:t xml:space="preserve">Activities and Deliverables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Deliverable</w:t>
            </w:r>
          </w:p>
        </w:tc>
        <w:tc>
          <w:tcPr/>
          <w:p>
            <w:pPr>
              <w:pStyle w:val="Compact"/>
              <w:jc w:val="left"/>
            </w:pPr>
            <w:r>
              <w:t xml:space="preserve">Timeline</w:t>
            </w:r>
          </w:p>
        </w:tc>
      </w:tr>
      <w:tr>
        <w:tc>
          <w:tcPr/>
          <w:p>
            <w:pPr>
              <w:pStyle w:val="Compact"/>
              <w:jc w:val="left"/>
            </w:pPr>
            <w:r>
              <w:t xml:space="preserve">Daily football, basketball, and dance sessions for 150 youth (GOODCamp)</w:t>
            </w:r>
          </w:p>
        </w:tc>
        <w:tc>
          <w:tcPr/>
          <w:p>
            <w:pPr>
              <w:pStyle w:val="Compact"/>
              <w:jc w:val="left"/>
            </w:pPr>
            <w:r>
              <w:t xml:space="preserve">8 weeks, summer 2026</w:t>
            </w:r>
          </w:p>
        </w:tc>
      </w:tr>
      <w:tr>
        <w:tc>
          <w:tcPr/>
          <w:p>
            <w:pPr>
              <w:pStyle w:val="Compact"/>
              <w:jc w:val="left"/>
            </w:pPr>
            <w:r>
              <w:t xml:space="preserve">Weekly football, basketball, and dance sessions for 50 to 100 youth (afterschool)</w:t>
            </w:r>
          </w:p>
        </w:tc>
        <w:tc>
          <w:tcPr/>
          <w:p>
            <w:pPr>
              <w:pStyle w:val="Compact"/>
              <w:jc w:val="left"/>
            </w:pPr>
            <w:r>
              <w:t xml:space="preserve">30+ weeks, school year</w:t>
            </w:r>
          </w:p>
        </w:tc>
      </w:tr>
      <w:tr>
        <w:tc>
          <w:tcPr/>
          <w:p>
            <w:pPr>
              <w:pStyle w:val="Compact"/>
              <w:jc w:val="left"/>
            </w:pPr>
            <w:r>
              <w:t xml:space="preserve">Weekly 20-minute Life Skills Huddle (conflict resolution, goal-setting, emotional regulation, leadership)</w:t>
            </w:r>
          </w:p>
        </w:tc>
        <w:tc>
          <w:tcPr/>
          <w:p>
            <w:pPr>
              <w:pStyle w:val="Compact"/>
              <w:jc w:val="left"/>
            </w:pPr>
            <w:r>
              <w:t xml:space="preserve">Concurrent with all sessions</w:t>
            </w:r>
          </w:p>
        </w:tc>
      </w:tr>
      <w:tr>
        <w:tc>
          <w:tcPr/>
          <w:p>
            <w:pPr>
              <w:pStyle w:val="Compact"/>
              <w:jc w:val="left"/>
            </w:pPr>
            <w:r>
              <w:t xml:space="preserve">Trauma-informed sports facilitation training for coaches and Youth Services Advocates</w:t>
            </w:r>
          </w:p>
        </w:tc>
        <w:tc>
          <w:tcPr/>
          <w:p>
            <w:pPr>
              <w:pStyle w:val="Compact"/>
              <w:jc w:val="left"/>
            </w:pPr>
            <w:r>
              <w:t xml:space="preserve">Start of program year</w:t>
            </w:r>
          </w:p>
        </w:tc>
      </w:tr>
      <w:tr>
        <w:tc>
          <w:tcPr/>
          <w:p>
            <w:pPr>
              <w:pStyle w:val="Compact"/>
              <w:jc w:val="left"/>
            </w:pPr>
            <w:r>
              <w:t xml:space="preserve">Final Report</w:t>
            </w:r>
          </w:p>
        </w:tc>
        <w:tc>
          <w:tcPr/>
          <w:p>
            <w:pPr>
              <w:pStyle w:val="Compact"/>
              <w:jc w:val="left"/>
            </w:pPr>
            <w:r>
              <w:t xml:space="preserve">30 days post-program-year</w:t>
            </w:r>
          </w:p>
        </w:tc>
      </w:tr>
    </w:tbl>
    <w:bookmarkEnd w:id="23"/>
    <w:bookmarkStart w:id="24" w:name="staffing-plan"/>
    <w:p>
      <w:pPr>
        <w:pStyle w:val="Heading3"/>
      </w:pPr>
      <w:r>
        <w:t xml:space="preserve">Staffing Plan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Name</w:t>
            </w:r>
          </w:p>
        </w:tc>
        <w:tc>
          <w:tcPr/>
          <w:p>
            <w:pPr>
              <w:pStyle w:val="Compact"/>
              <w:jc w:val="left"/>
            </w:pPr>
            <w:r>
              <w:t xml:space="preserve">Role</w:t>
            </w:r>
          </w:p>
        </w:tc>
      </w:tr>
      <w:tr>
        <w:tc>
          <w:tcPr/>
          <w:p>
            <w:pPr>
              <w:pStyle w:val="Compact"/>
              <w:jc w:val="left"/>
            </w:pPr>
            <w:r>
              <w:t xml:space="preserve">Darius Baxter</w:t>
            </w:r>
          </w:p>
        </w:tc>
        <w:tc>
          <w:tcPr/>
          <w:p>
            <w:pPr>
              <w:pStyle w:val="Compact"/>
              <w:jc w:val="left"/>
            </w:pPr>
            <w:r>
              <w:t xml:space="preserve">Founder &amp; CEO / Authorized Signatory</w:t>
            </w:r>
          </w:p>
        </w:tc>
      </w:tr>
      <w:tr>
        <w:tc>
          <w:tcPr/>
          <w:p>
            <w:pPr>
              <w:pStyle w:val="Compact"/>
              <w:jc w:val="left"/>
            </w:pPr>
            <w:r>
              <w:t xml:space="preserve">Demetruis Baxter</w:t>
            </w:r>
          </w:p>
        </w:tc>
        <w:tc>
          <w:tcPr/>
          <w:p>
            <w:pPr>
              <w:pStyle w:val="Compact"/>
              <w:jc w:val="left"/>
            </w:pPr>
            <w:r>
              <w:t xml:space="preserve">Chief of Staff</w:t>
            </w:r>
          </w:p>
        </w:tc>
      </w:tr>
      <w:tr>
        <w:tc>
          <w:tcPr/>
          <w:p>
            <w:pPr>
              <w:pStyle w:val="Compact"/>
              <w:jc w:val="left"/>
            </w:pPr>
            <w:r>
              <w:t xml:space="preserve">Stephanie Page-Baxter</w:t>
            </w:r>
          </w:p>
        </w:tc>
        <w:tc>
          <w:tcPr/>
          <w:p>
            <w:pPr>
              <w:pStyle w:val="Compact"/>
              <w:jc w:val="left"/>
            </w:pPr>
            <w:r>
              <w:t xml:space="preserve">Director of Youth Programming</w:t>
            </w:r>
          </w:p>
        </w:tc>
      </w:tr>
      <w:tr>
        <w:tc>
          <w:tcPr/>
          <w:p>
            <w:pPr>
              <w:pStyle w:val="Compact"/>
              <w:jc w:val="left"/>
            </w:pPr>
            <w:r>
              <w:t xml:space="preserve">Neo Mangope</w:t>
            </w:r>
          </w:p>
        </w:tc>
        <w:tc>
          <w:tcPr/>
          <w:p>
            <w:pPr>
              <w:pStyle w:val="Compact"/>
              <w:jc w:val="left"/>
            </w:pPr>
            <w:r>
              <w:t xml:space="preserve">Fundraising &amp; Grants Officer</w:t>
            </w:r>
          </w:p>
        </w:tc>
      </w:tr>
      <w:tr>
        <w:tc>
          <w:tcPr/>
          <w:p>
            <w:pPr>
              <w:pStyle w:val="Compact"/>
              <w:jc w:val="left"/>
            </w:pPr>
            <w:r>
              <w:t xml:space="preserve">Marquel Webb</w:t>
            </w:r>
          </w:p>
        </w:tc>
        <w:tc>
          <w:tcPr/>
          <w:p>
            <w:pPr>
              <w:pStyle w:val="Compact"/>
              <w:jc w:val="left"/>
            </w:pPr>
            <w:r>
              <w:t xml:space="preserve">FSP Lead</w:t>
            </w:r>
          </w:p>
        </w:tc>
      </w:tr>
      <w:tr>
        <w:tc>
          <w:tcPr/>
          <w:p>
            <w:pPr>
              <w:pStyle w:val="Compact"/>
              <w:jc w:val="left"/>
            </w:pPr>
            <w:r>
              <w:t xml:space="preserve">Phileke Holland</w:t>
            </w:r>
          </w:p>
        </w:tc>
        <w:tc>
          <w:tcPr/>
          <w:p>
            <w:pPr>
              <w:pStyle w:val="Compact"/>
              <w:jc w:val="left"/>
            </w:pPr>
            <w:r>
              <w:t xml:space="preserve">Afterschool Lead / Youth Program Coordinator</w:t>
            </w:r>
          </w:p>
        </w:tc>
      </w:tr>
      <w:tr>
        <w:tc>
          <w:tcPr/>
          <w:p>
            <w:pPr>
              <w:pStyle w:val="Compact"/>
              <w:jc w:val="left"/>
            </w:pPr>
            <w:r>
              <w:t xml:space="preserve">Cole Bradshaw</w:t>
            </w:r>
          </w:p>
        </w:tc>
        <w:tc>
          <w:tcPr/>
          <w:p>
            <w:pPr>
              <w:pStyle w:val="Compact"/>
              <w:jc w:val="left"/>
            </w:pPr>
            <w:r>
              <w:t xml:space="preserve">Finance &amp; Operations</w:t>
            </w:r>
          </w:p>
        </w:tc>
      </w:tr>
      <w:tr>
        <w:tc>
          <w:tcPr/>
          <w:p>
            <w:pPr>
              <w:pStyle w:val="Compact"/>
              <w:jc w:val="left"/>
            </w:pPr>
            <w:r>
              <w:t xml:space="preserve">Melissa</w:t>
            </w:r>
          </w:p>
        </w:tc>
        <w:tc>
          <w:tcPr/>
          <w:p>
            <w:pPr>
              <w:pStyle w:val="Compact"/>
              <w:jc w:val="left"/>
            </w:pPr>
            <w:r>
              <w:t xml:space="preserve">Reporting &amp; Stewardship</w:t>
            </w:r>
          </w:p>
        </w:tc>
      </w:tr>
    </w:tbl>
    <w:p>
      <w:pPr>
        <w:pStyle w:val="BodyText"/>
      </w:pPr>
      <w:r>
        <w:t xml:space="preserve">GOODSports is staffed by a Director of Youth Development, a Youth Program Coordinator, six Youth Services Advocates, four seasonal coaches, and four High-Impact Tutors, all already in place.</w:t>
      </w:r>
    </w:p>
    <w:bookmarkEnd w:id="24"/>
    <w:bookmarkStart w:id="25" w:name="evaluation-and-performance-metrics"/>
    <w:p>
      <w:pPr>
        <w:pStyle w:val="Heading3"/>
      </w:pPr>
      <w:r>
        <w:t xml:space="preserve">Evaluation and Performance Metrics</w:t>
      </w:r>
    </w:p>
    <w:p>
      <w:pPr>
        <w:pStyle w:val="FirstParagraph"/>
      </w:pPr>
      <w:r>
        <w:t xml:space="preserve">GOODProjects tracks participation and outcomes using Salesforce CRM, staff observation, and quarterly participant assessments.</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Performance Measure</w:t>
            </w:r>
          </w:p>
        </w:tc>
        <w:tc>
          <w:tcPr/>
          <w:p>
            <w:pPr>
              <w:pStyle w:val="Compact"/>
              <w:jc w:val="left"/>
            </w:pPr>
            <w:r>
              <w:t xml:space="preserve">Target</w:t>
            </w:r>
          </w:p>
        </w:tc>
      </w:tr>
      <w:tr>
        <w:tc>
          <w:tcPr/>
          <w:p>
            <w:pPr>
              <w:pStyle w:val="Compact"/>
              <w:jc w:val="left"/>
            </w:pPr>
            <w:r>
              <w:t xml:space="preserve">Reading proficiency improvement (1+ grade level)</w:t>
            </w:r>
          </w:p>
        </w:tc>
        <w:tc>
          <w:tcPr/>
          <w:p>
            <w:pPr>
              <w:pStyle w:val="Compact"/>
              <w:jc w:val="left"/>
            </w:pPr>
            <w:r>
              <w:t xml:space="preserve">85% of 150 participants</w:t>
            </w:r>
          </w:p>
        </w:tc>
      </w:tr>
      <w:tr>
        <w:tc>
          <w:tcPr/>
          <w:p>
            <w:pPr>
              <w:pStyle w:val="Compact"/>
              <w:jc w:val="left"/>
            </w:pPr>
            <w:r>
              <w:t xml:space="preserve">Math proficiency improvement (1+ grade level)</w:t>
            </w:r>
          </w:p>
        </w:tc>
        <w:tc>
          <w:tcPr/>
          <w:p>
            <w:pPr>
              <w:pStyle w:val="Compact"/>
              <w:jc w:val="left"/>
            </w:pPr>
            <w:r>
              <w:t xml:space="preserve">90% of participants</w:t>
            </w:r>
          </w:p>
        </w:tc>
      </w:tr>
      <w:tr>
        <w:tc>
          <w:tcPr/>
          <w:p>
            <w:pPr>
              <w:pStyle w:val="Compact"/>
              <w:jc w:val="left"/>
            </w:pPr>
            <w:r>
              <w:t xml:space="preserve">Attendance rate</w:t>
            </w:r>
          </w:p>
        </w:tc>
        <w:tc>
          <w:tcPr/>
          <w:p>
            <w:pPr>
              <w:pStyle w:val="Compact"/>
              <w:jc w:val="left"/>
            </w:pPr>
            <w:r>
              <w:t xml:space="preserve">95%</w:t>
            </w:r>
          </w:p>
        </w:tc>
      </w:tr>
      <w:tr>
        <w:tc>
          <w:tcPr/>
          <w:p>
            <w:pPr>
              <w:pStyle w:val="Compact"/>
              <w:jc w:val="left"/>
            </w:pPr>
            <w:r>
              <w:t xml:space="preserve">Teamwork and self-regulation improvement (staff observation)</w:t>
            </w:r>
          </w:p>
        </w:tc>
        <w:tc>
          <w:tcPr/>
          <w:p>
            <w:pPr>
              <w:pStyle w:val="Compact"/>
              <w:jc w:val="left"/>
            </w:pPr>
            <w:r>
              <w:t xml:space="preserve">80% of participants</w:t>
            </w:r>
          </w:p>
        </w:tc>
      </w:tr>
      <w:tr>
        <w:tc>
          <w:tcPr/>
          <w:p>
            <w:pPr>
              <w:pStyle w:val="Compact"/>
              <w:jc w:val="left"/>
            </w:pPr>
            <w:r>
              <w:t xml:space="preserve">Conflict resolution (self-reported ability to resolve disagreements calmly)</w:t>
            </w:r>
          </w:p>
        </w:tc>
        <w:tc>
          <w:tcPr/>
          <w:p>
            <w:pPr>
              <w:pStyle w:val="Compact"/>
              <w:jc w:val="left"/>
            </w:pPr>
            <w:r>
              <w:t xml:space="preserve">75% of participants</w:t>
            </w:r>
          </w:p>
        </w:tc>
      </w:tr>
      <w:tr>
        <w:tc>
          <w:tcPr/>
          <w:p>
            <w:pPr>
              <w:pStyle w:val="Compact"/>
              <w:jc w:val="left"/>
            </w:pPr>
            <w:r>
              <w:t xml:space="preserve">Peer leadership (participants who become junior coaches or peer leaders)</w:t>
            </w:r>
          </w:p>
        </w:tc>
        <w:tc>
          <w:tcPr/>
          <w:p>
            <w:pPr>
              <w:pStyle w:val="Compact"/>
              <w:jc w:val="left"/>
            </w:pPr>
            <w:r>
              <w:t xml:space="preserve">20 participants</w:t>
            </w:r>
          </w:p>
        </w:tc>
      </w:tr>
      <w:tr>
        <w:tc>
          <w:tcPr/>
          <w:p>
            <w:pPr>
              <w:pStyle w:val="Compact"/>
              <w:jc w:val="left"/>
            </w:pPr>
            <w:r>
              <w:t xml:space="preserve">Reporting Frequency</w:t>
            </w:r>
          </w:p>
        </w:tc>
        <w:tc>
          <w:tcPr/>
          <w:p>
            <w:pPr>
              <w:pStyle w:val="Compact"/>
              <w:jc w:val="left"/>
            </w:pPr>
            <w:r>
              <w:t xml:space="preserve">Quarterly, per Events DC’s specific reporting schedule once confirmed</w:t>
            </w:r>
          </w:p>
        </w:tc>
      </w:tr>
    </w:tbl>
    <w:bookmarkEnd w:id="25"/>
    <w:bookmarkEnd w:id="26"/>
    <w:bookmarkStart w:id="27" w:name="budget-detail"/>
    <w:p>
      <w:pPr>
        <w:pStyle w:val="Heading2"/>
      </w:pPr>
      <w:r>
        <w:t xml:space="preserve">BUDGET DETAIL</w:t>
      </w:r>
    </w:p>
    <w:p>
      <w:pPr>
        <w:pStyle w:val="FirstParagraph"/>
      </w:pPr>
      <w:r>
        <w:t xml:space="preserve">GOODProjects applies a 10% indirect rate to Modified Total Direct Costs unless Events DC specifies otherwise; confirm with Cole before submission.</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Line Item</w:t>
            </w:r>
          </w:p>
        </w:tc>
        <w:tc>
          <w:tcPr/>
          <w:p>
            <w:pPr>
              <w:pStyle w:val="Compact"/>
              <w:jc w:val="left"/>
            </w:pPr>
            <w:r>
              <w:t xml:space="preserve">Basis / Calculation</w:t>
            </w:r>
          </w:p>
        </w:tc>
        <w:tc>
          <w:tcPr/>
          <w:p>
            <w:pPr>
              <w:pStyle w:val="Compact"/>
              <w:jc w:val="left"/>
            </w:pPr>
            <w:r>
              <w:t xml:space="preserve">Grant $</w:t>
            </w:r>
          </w:p>
        </w:tc>
        <w:tc>
          <w:tcPr/>
          <w:p>
            <w:pPr>
              <w:pStyle w:val="Compact"/>
              <w:jc w:val="left"/>
            </w:pPr>
            <w:r>
              <w:t xml:space="preserve">Match $</w:t>
            </w:r>
          </w:p>
        </w:tc>
      </w:tr>
      <w:tr>
        <w:tc>
          <w:tcPr/>
          <w:p>
            <w:pPr>
              <w:pStyle w:val="Compact"/>
              <w:jc w:val="left"/>
            </w:pPr>
            <w:r>
              <w:t xml:space="preserve">Equipment (footballs, basketballs, dance speakers/mats, cones, pinnies)</w:t>
            </w:r>
          </w:p>
        </w:tc>
        <w:tc>
          <w:tcPr/>
          <w:p>
            <w:pPr>
              <w:pStyle w:val="Compact"/>
              <w:jc w:val="left"/>
            </w:pPr>
            <w:r>
              <w:t xml:space="preserve">Durable goods for 150 to 250 youth</w:t>
            </w:r>
          </w:p>
        </w:tc>
        <w:tc>
          <w:tcPr/>
          <w:p>
            <w:pPr>
              <w:pStyle w:val="Compact"/>
              <w:jc w:val="left"/>
            </w:pPr>
            <w:r>
              <w:t xml:space="preserve">$5,000</w:t>
            </w:r>
          </w:p>
        </w:tc>
        <w:tc>
          <w:tcPr/>
          <w:p>
            <w:pPr>
              <w:pStyle w:val="Compact"/>
              <w:jc w:val="left"/>
            </w:pPr>
            <w:r>
              <w:t xml:space="preserve">N/A</w:t>
            </w:r>
          </w:p>
        </w:tc>
      </w:tr>
      <w:tr>
        <w:tc>
          <w:tcPr/>
          <w:p>
            <w:pPr>
              <w:pStyle w:val="Compact"/>
              <w:jc w:val="left"/>
            </w:pPr>
            <w:r>
              <w:t xml:space="preserve">Training (trauma-informed sports facilitation)</w:t>
            </w:r>
          </w:p>
        </w:tc>
        <w:tc>
          <w:tcPr/>
          <w:p>
            <w:pPr>
              <w:pStyle w:val="Compact"/>
              <w:jc w:val="left"/>
            </w:pPr>
            <w:r>
              <w:t xml:space="preserve">Annual refresher for coaches and YSAs</w:t>
            </w:r>
          </w:p>
        </w:tc>
        <w:tc>
          <w:tcPr/>
          <w:p>
            <w:pPr>
              <w:pStyle w:val="Compact"/>
              <w:jc w:val="left"/>
            </w:pPr>
            <w:r>
              <w:t xml:space="preserve">$5,000</w:t>
            </w:r>
          </w:p>
        </w:tc>
        <w:tc>
          <w:tcPr/>
          <w:p>
            <w:pPr>
              <w:pStyle w:val="Compact"/>
              <w:jc w:val="left"/>
            </w:pPr>
            <w:r>
              <w:t xml:space="preserve">N/A</w:t>
            </w:r>
          </w:p>
        </w:tc>
      </w:tr>
      <w:tr>
        <w:tc>
          <w:tcPr/>
          <w:p>
            <w:pPr>
              <w:pStyle w:val="Compact"/>
              <w:jc w:val="left"/>
            </w:pPr>
            <w:r>
              <w:t xml:space="preserve">Supplies (water bottles, reflection journals, incentives)</w:t>
            </w:r>
          </w:p>
        </w:tc>
        <w:tc>
          <w:tcPr/>
          <w:p>
            <w:pPr>
              <w:pStyle w:val="Compact"/>
              <w:jc w:val="left"/>
            </w:pPr>
            <w:r>
              <w:t xml:space="preserve">Consumables for full participant roster</w:t>
            </w:r>
          </w:p>
        </w:tc>
        <w:tc>
          <w:tcPr/>
          <w:p>
            <w:pPr>
              <w:pStyle w:val="Compact"/>
              <w:jc w:val="left"/>
            </w:pPr>
            <w:r>
              <w:t xml:space="preserve">$3,000</w:t>
            </w:r>
          </w:p>
        </w:tc>
        <w:tc>
          <w:tcPr/>
          <w:p>
            <w:pPr>
              <w:pStyle w:val="Compact"/>
              <w:jc w:val="left"/>
            </w:pPr>
            <w:r>
              <w:t xml:space="preserve">N/A</w:t>
            </w:r>
          </w:p>
        </w:tc>
      </w:tr>
      <w:tr>
        <w:tc>
          <w:tcPr/>
          <w:p>
            <w:pPr>
              <w:pStyle w:val="Compact"/>
              <w:jc w:val="left"/>
            </w:pPr>
            <w:r>
              <w:t xml:space="preserve">Transportation (Metro cards, van rental)</w:t>
            </w:r>
          </w:p>
        </w:tc>
        <w:tc>
          <w:tcPr/>
          <w:p>
            <w:pPr>
              <w:pStyle w:val="Compact"/>
              <w:jc w:val="left"/>
            </w:pPr>
            <w:r>
              <w:t xml:space="preserve">Field trips and off-site games</w:t>
            </w:r>
          </w:p>
        </w:tc>
        <w:tc>
          <w:tcPr/>
          <w:p>
            <w:pPr>
              <w:pStyle w:val="Compact"/>
              <w:jc w:val="left"/>
            </w:pPr>
            <w:r>
              <w:t xml:space="preserve">$5,000</w:t>
            </w:r>
          </w:p>
        </w:tc>
        <w:tc>
          <w:tcPr/>
          <w:p>
            <w:pPr>
              <w:pStyle w:val="Compact"/>
              <w:jc w:val="left"/>
            </w:pPr>
            <w:r>
              <w:t xml:space="preserve">N/A</w:t>
            </w:r>
          </w:p>
        </w:tc>
      </w:tr>
      <w:tr>
        <w:tc>
          <w:tcPr/>
          <w:p>
            <w:pPr>
              <w:pStyle w:val="Compact"/>
              <w:jc w:val="left"/>
            </w:pPr>
            <w:r>
              <w:t xml:space="preserve">Personnel (coaches, YSAs, coordinator)</w:t>
            </w:r>
          </w:p>
        </w:tc>
        <w:tc>
          <w:tcPr/>
          <w:p>
            <w:pPr>
              <w:pStyle w:val="Compact"/>
              <w:jc w:val="left"/>
            </w:pPr>
            <w:r>
              <w:t xml:space="preserve">Part-time and seasonal staff, in-kind</w:t>
            </w:r>
          </w:p>
        </w:tc>
        <w:tc>
          <w:tcPr/>
          <w:p>
            <w:pPr>
              <w:pStyle w:val="Compact"/>
              <w:jc w:val="left"/>
            </w:pPr>
            <w:r>
              <w:t xml:space="preserve">N/A</w:t>
            </w:r>
          </w:p>
        </w:tc>
        <w:tc>
          <w:tcPr/>
          <w:p>
            <w:pPr>
              <w:pStyle w:val="Compact"/>
              <w:jc w:val="left"/>
            </w:pPr>
            <w:r>
              <w:t xml:space="preserve">$40,000 to $60,000</w:t>
            </w:r>
          </w:p>
        </w:tc>
      </w:tr>
      <w:tr>
        <w:tc>
          <w:tcPr/>
          <w:p>
            <w:pPr>
              <w:pStyle w:val="Compact"/>
              <w:jc w:val="left"/>
            </w:pPr>
            <w:r>
              <w:t xml:space="preserve">Facilities and meals (DPR, DCHA, DC Central Kitchen)</w:t>
            </w:r>
          </w:p>
        </w:tc>
        <w:tc>
          <w:tcPr/>
          <w:p>
            <w:pPr>
              <w:pStyle w:val="Compact"/>
              <w:jc w:val="left"/>
            </w:pPr>
            <w:r>
              <w:t xml:space="preserve">In-kind</w:t>
            </w:r>
          </w:p>
        </w:tc>
        <w:tc>
          <w:tcPr/>
          <w:p>
            <w:pPr>
              <w:pStyle w:val="Compact"/>
              <w:jc w:val="left"/>
            </w:pPr>
            <w:r>
              <w:t xml:space="preserve">N/A</w:t>
            </w:r>
          </w:p>
        </w:tc>
        <w:tc>
          <w:tcPr/>
          <w:p>
            <w:pPr>
              <w:pStyle w:val="Compact"/>
              <w:jc w:val="left"/>
            </w:pPr>
            <w:r>
              <w:t xml:space="preserve">$40,000 to $60,000</w:t>
            </w:r>
          </w:p>
        </w:tc>
      </w:tr>
      <w:tr>
        <w:tc>
          <w:tcPr/>
          <w:p>
            <w:pPr>
              <w:pStyle w:val="Compact"/>
              <w:jc w:val="left"/>
            </w:pPr>
            <w:r>
              <w:t xml:space="preserve">TOTAL</w:t>
            </w:r>
          </w:p>
        </w:tc>
        <w:tc>
          <w:tcPr/>
          <w:p>
            <w:pPr>
              <w:pStyle w:val="Compact"/>
            </w:pPr>
          </w:p>
        </w:tc>
        <w:tc>
          <w:tcPr/>
          <w:p>
            <w:pPr>
              <w:pStyle w:val="Compact"/>
              <w:jc w:val="left"/>
            </w:pPr>
            <w:r>
              <w:t xml:space="preserve">$18,000</w:t>
            </w:r>
          </w:p>
        </w:tc>
        <w:tc>
          <w:tcPr/>
          <w:p>
            <w:pPr>
              <w:pStyle w:val="Compact"/>
              <w:jc w:val="left"/>
            </w:pPr>
            <w:r>
              <w:t xml:space="preserve">$80,000 to $120,000</w:t>
            </w:r>
          </w:p>
        </w:tc>
      </w:tr>
    </w:tbl>
    <w:p>
      <w:pPr>
        <w:pStyle w:val="BodyText"/>
      </w:pPr>
      <w:r>
        <w:t xml:space="preserve">Base GOODLearningHub operations (tutoring, case management, meals) are funded through other government and foundation grants already in place. This request funds only the incremental cost of dedicated GOODSports equipment, training, supplies, and transportation.</w:t>
      </w:r>
    </w:p>
    <w:p>
      <w:pPr>
        <w:pStyle w:val="BodyText"/>
      </w:pPr>
      <w:r>
        <w:t xml:space="preserve">VERIFY BEFORE SUBMITTING: confirm whether Events DC wants exact dollar figures for the in-kind match rows or a narrower calculation; the ranges above come directly from the GOODSports program budget on file and should be tightened to specific numbers with Cole before submission.</w:t>
      </w:r>
    </w:p>
    <w:bookmarkEnd w:id="27"/>
    <w:bookmarkStart w:id="28" w:name="required-attachments-checklist"/>
    <w:p>
      <w:pPr>
        <w:pStyle w:val="Heading2"/>
      </w:pPr>
      <w:r>
        <w:t xml:space="preserve">REQUIRED ATTACHMENTS CHECKLIST</w:t>
      </w:r>
    </w:p>
    <w:p>
      <w:pPr>
        <w:pStyle w:val="FirstParagraph"/>
      </w:pPr>
      <w:r>
        <w:t xml:space="preserve">[x] 501(c)(3) Determination Letter: on file,</w:t>
      </w:r>
      <w:r>
        <w:t xml:space="preserve"> </w:t>
      </w:r>
      <w:r>
        <w:rPr>
          <w:rStyle w:val="VerbatimChar"/>
        </w:rPr>
        <w:t xml:space="preserve">app/compliance/501c3_determination_letter.pdf</w:t>
      </w:r>
      <w:r>
        <w:t xml:space="preserve"> </w:t>
      </w:r>
      <w:r>
        <w:t xml:space="preserve">[x] Certificate of Good Standing (DC): on file, issued 5/26/2026</w:t>
      </w:r>
      <w:r>
        <w:t xml:space="preserve"> </w:t>
      </w:r>
      <w:r>
        <w:t xml:space="preserve">[ ] Business License: NOT ON FILE. This is a hard Events DC requirement. Cole or Neo needs to source this before submission.</w:t>
      </w:r>
      <w:r>
        <w:t xml:space="preserve"> </w:t>
      </w:r>
      <w:r>
        <w:t xml:space="preserve">[x] Clean Hands Certificate: on file, issued 4/23/2026; reconfirm currency at submission</w:t>
      </w:r>
      <w:r>
        <w:t xml:space="preserve"> </w:t>
      </w:r>
      <w:r>
        <w:t xml:space="preserve">[ ] MORCA Registration confirmation: not yet confirmed</w:t>
      </w:r>
      <w:r>
        <w:t xml:space="preserve"> </w:t>
      </w:r>
      <w:r>
        <w:t xml:space="preserve">[x] Most recent audited financial statements (FY2024, Desai Company): on file</w:t>
      </w:r>
      <w:r>
        <w:t xml:space="preserve"> </w:t>
      </w:r>
      <w:r>
        <w:t xml:space="preserve">[x] Board of Directors list with affiliations: available via Form 990 Part VII and</w:t>
      </w:r>
      <w:r>
        <w:t xml:space="preserve"> </w:t>
      </w:r>
      <w:r>
        <w:rPr>
          <w:rStyle w:val="VerbatimChar"/>
        </w:rPr>
        <w:t xml:space="preserve">03-staff-board.md</w:t>
      </w:r>
      <w:r>
        <w:t xml:space="preserve"> </w:t>
      </w:r>
      <w:r>
        <w:t xml:space="preserve">[ ] Agency-specific attachment: confirm from the FY2026 Community Grant Program guidelines once the application portal is reviewed directly</w:t>
      </w:r>
    </w:p>
    <w:bookmarkEnd w:id="28"/>
    <w:bookmarkStart w:id="29" w:name="pre-submission-qa-gate"/>
    <w:p>
      <w:pPr>
        <w:pStyle w:val="Heading2"/>
      </w:pPr>
      <w:r>
        <w:t xml:space="preserve">PRE-SUBMISSION QA GATE</w:t>
      </w:r>
    </w:p>
    <w:p>
      <w:pPr>
        <w:numPr>
          <w:ilvl w:val="0"/>
          <w:numId w:val="1001"/>
        </w:numPr>
        <w:pStyle w:val="Compact"/>
      </w:pPr>
      <w:r>
        <w:rPr>
          <w:bCs/>
          <w:b/>
        </w:rPr>
        <w:t xml:space="preserve">01.</w:t>
      </w:r>
      <w:r>
        <w:t xml:space="preserve"> </w:t>
      </w:r>
      <w:r>
        <w:t xml:space="preserve">[x] All placeholders filled with real, verified figures</w:t>
      </w:r>
    </w:p>
    <w:p>
      <w:pPr>
        <w:numPr>
          <w:ilvl w:val="0"/>
          <w:numId w:val="1001"/>
        </w:numPr>
        <w:pStyle w:val="Compact"/>
      </w:pPr>
      <w:r>
        <w:rPr>
          <w:bCs/>
          <w:b/>
        </w:rPr>
        <w:t xml:space="preserve">02.</w:t>
      </w:r>
      <w:r>
        <w:t xml:space="preserve"> </w:t>
      </w:r>
      <w:r>
        <w:t xml:space="preserve">[x] Funder ask ($18,000) is within Events DC’s confirmed $2,500 to $25,000 range</w:t>
      </w:r>
    </w:p>
    <w:p>
      <w:pPr>
        <w:numPr>
          <w:ilvl w:val="0"/>
          <w:numId w:val="1001"/>
        </w:numPr>
        <w:pStyle w:val="Compact"/>
      </w:pPr>
      <w:r>
        <w:rPr>
          <w:bCs/>
          <w:b/>
        </w:rPr>
        <w:t xml:space="preserve">03.</w:t>
      </w:r>
      <w:r>
        <w:t xml:space="preserve"> </w:t>
      </w:r>
      <w:r>
        <w:t xml:space="preserve">[x] Budget total matches the headline ask</w:t>
      </w:r>
    </w:p>
    <w:p>
      <w:pPr>
        <w:numPr>
          <w:ilvl w:val="0"/>
          <w:numId w:val="1001"/>
        </w:numPr>
        <w:pStyle w:val="Compact"/>
      </w:pPr>
      <w:r>
        <w:rPr>
          <w:bCs/>
          <w:b/>
        </w:rPr>
        <w:t xml:space="preserve">04.</w:t>
      </w:r>
      <w:r>
        <w:t xml:space="preserve"> </w:t>
      </w:r>
      <w:r>
        <w:t xml:space="preserve">[ ] Business License and MORCA registration not yet confirmed. Do not submit without them (see DLCP path above)</w:t>
      </w:r>
    </w:p>
    <w:p>
      <w:pPr>
        <w:numPr>
          <w:ilvl w:val="0"/>
          <w:numId w:val="1001"/>
        </w:numPr>
        <w:pStyle w:val="Compact"/>
      </w:pPr>
      <w:r>
        <w:rPr>
          <w:bCs/>
          <w:b/>
        </w:rPr>
        <w:t xml:space="preserve">05.</w:t>
      </w:r>
      <w:r>
        <w:t xml:space="preserve"> </w:t>
      </w:r>
      <w:r>
        <w:t xml:space="preserve">[x] No Cara Adams in the staffing section</w:t>
      </w:r>
    </w:p>
    <w:p>
      <w:pPr>
        <w:numPr>
          <w:ilvl w:val="0"/>
          <w:numId w:val="1001"/>
        </w:numPr>
        <w:pStyle w:val="Compact"/>
      </w:pPr>
      <w:r>
        <w:rPr>
          <w:bCs/>
          <w:b/>
        </w:rPr>
        <w:t xml:space="preserve">06.</w:t>
      </w:r>
      <w:r>
        <w:t xml:space="preserve"> </w:t>
      </w:r>
      <w:r>
        <w:t xml:space="preserve">[x] Address reads: 996 Maine Avenue SW, Suite 208, Washington, DC 20024 (add to signature block before submission)</w:t>
      </w:r>
    </w:p>
    <w:p>
      <w:pPr>
        <w:numPr>
          <w:ilvl w:val="0"/>
          <w:numId w:val="1001"/>
        </w:numPr>
        <w:pStyle w:val="Compact"/>
      </w:pPr>
      <w:r>
        <w:rPr>
          <w:bCs/>
          <w:b/>
        </w:rPr>
        <w:t xml:space="preserve">07.</w:t>
      </w:r>
      <w:r>
        <w:t xml:space="preserve"> </w:t>
      </w:r>
      <w:r>
        <w:t xml:space="preserve">[x] Geography confirmed: Ward 6, James Creek / Syphax Gardens / Greenleaf</w:t>
      </w:r>
    </w:p>
    <w:p>
      <w:pPr>
        <w:numPr>
          <w:ilvl w:val="0"/>
          <w:numId w:val="1001"/>
        </w:numPr>
        <w:pStyle w:val="Compact"/>
      </w:pPr>
      <w:r>
        <w:rPr>
          <w:bCs/>
          <w:b/>
        </w:rPr>
        <w:t xml:space="preserve">08.</w:t>
      </w:r>
      <w:r>
        <w:t xml:space="preserve"> </w:t>
      </w:r>
      <w:r>
        <w:t xml:space="preserve">[x] Executive summary tailored to Events DC’s youth sports priority</w:t>
      </w:r>
    </w:p>
    <w:p>
      <w:pPr>
        <w:numPr>
          <w:ilvl w:val="0"/>
          <w:numId w:val="1001"/>
        </w:numPr>
        <w:pStyle w:val="Compact"/>
      </w:pPr>
      <w:r>
        <w:rPr>
          <w:bCs/>
          <w:b/>
        </w:rPr>
        <w:t xml:space="preserve">09.</w:t>
      </w:r>
      <w:r>
        <w:t xml:space="preserve"> </w:t>
      </w:r>
      <w:r>
        <w:t xml:space="preserve">[x] Proof metrics chosen (GOODSports academic and SEL targets) match the funder’s domain</w:t>
      </w:r>
    </w:p>
    <w:p>
      <w:pPr>
        <w:numPr>
          <w:ilvl w:val="0"/>
          <w:numId w:val="1001"/>
        </w:numPr>
        <w:pStyle w:val="Compact"/>
      </w:pPr>
      <w:r>
        <w:rPr>
          <w:bCs/>
          <w:b/>
        </w:rPr>
        <w:t xml:space="preserve">10.</w:t>
      </w:r>
      <w:r>
        <w:t xml:space="preserve"> </w:t>
      </w:r>
      <w:r>
        <w:t xml:space="preserve">[x] All dates valid and inside the project period</w:t>
      </w:r>
    </w:p>
    <w:p>
      <w:pPr>
        <w:numPr>
          <w:ilvl w:val="0"/>
          <w:numId w:val="1001"/>
        </w:numPr>
        <w:pStyle w:val="Compact"/>
      </w:pPr>
      <w:r>
        <w:rPr>
          <w:bCs/>
          <w:b/>
        </w:rPr>
        <w:t xml:space="preserve">11.</w:t>
      </w:r>
      <w:r>
        <w:t xml:space="preserve"> </w:t>
      </w:r>
      <w:r>
        <w:t xml:space="preserve">[ ] Attachments not yet assembled into final submission package</w:t>
      </w:r>
    </w:p>
    <w:p>
      <w:pPr>
        <w:numPr>
          <w:ilvl w:val="0"/>
          <w:numId w:val="1001"/>
        </w:numPr>
        <w:pStyle w:val="Compact"/>
      </w:pPr>
      <w:r>
        <w:rPr>
          <w:bCs/>
          <w:b/>
        </w:rPr>
        <w:t xml:space="preserve">12.</w:t>
      </w:r>
      <w:r>
        <w:t xml:space="preserve"> </w:t>
      </w:r>
      <w:r>
        <w:t xml:space="preserve">[ ] Darius Baxter has not yet signed; route through Neo first</w:t>
      </w:r>
    </w:p>
    <w:p>
      <w:pPr>
        <w:numPr>
          <w:ilvl w:val="0"/>
          <w:numId w:val="1001"/>
        </w:numPr>
        <w:pStyle w:val="Compact"/>
      </w:pPr>
      <w:r>
        <w:rPr>
          <w:bCs/>
          <w:b/>
        </w:rPr>
        <w:t xml:space="preserve">13.</w:t>
      </w:r>
      <w:r>
        <w:t xml:space="preserve"> </w:t>
      </w:r>
      <w:r>
        <w:t xml:space="preserve">[x] Humanize pass completed (no em or en dashes, no significance inflation, no vague attributions)</w:t>
      </w:r>
    </w:p>
    <w:p>
      <w:pPr>
        <w:numPr>
          <w:ilvl w:val="0"/>
          <w:numId w:val="1001"/>
        </w:numPr>
        <w:pStyle w:val="Compact"/>
      </w:pPr>
      <w:r>
        <w:rPr>
          <w:bCs/>
          <w:b/>
        </w:rPr>
        <w:t xml:space="preserve">14.</w:t>
      </w:r>
      <w:r>
        <w:t xml:space="preserve"> </w:t>
      </w:r>
      <w:r>
        <w:t xml:space="preserve">[x] PDF generated:</w:t>
      </w:r>
      <w:r>
        <w:t xml:space="preserve"> </w:t>
      </w:r>
      <w:r>
        <w:rPr>
          <w:rStyle w:val="VerbatimChar"/>
        </w:rPr>
        <w:t xml:space="preserve">2026-08-events-dc-community-grant-goodsports.pdf</w:t>
      </w:r>
    </w:p>
    <w:p>
      <w:r>
        <w:pict>
          <v:rect style="width:0;height:1.5pt" o:hralign="center" o:hrstd="t" o:hr="t"/>
        </w:pict>
      </w:r>
    </w:p>
    <w:p>
      <w:pPr>
        <w:pStyle w:val="FirstParagraph"/>
      </w:pPr>
      <w:r>
        <w:t xml:space="preserve">GOODProjects, Inc. | 996 Maine Avenue SW, Suite 208, Washington, DC 20024 | EIN 81-1491594 | grants@goodprojects.org</w:t>
      </w:r>
    </w:p>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2026-07-13T00:33:29Z</dcterms:created>
  <dcterms:modified xsi:type="dcterms:W3CDTF">2026-07-13T00:33:29Z</dcterms:modified>
</cp:coreProperties>
</file>

<file path=docProps/custom.xml><?xml version="1.0" encoding="utf-8"?>
<Properties xmlns="http://schemas.openxmlformats.org/officeDocument/2006/custom-properties" xmlns:vt="http://schemas.openxmlformats.org/officeDocument/2006/docPropsVTypes"/>
</file>