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GOODProjects</w:t>
      </w:r>
    </w:p>
    <w:p>
      <w:r>
        <w:t>DC Government Grant Draft</w:t>
      </w:r>
    </w:p>
    <w:p>
      <w:r>
        <w:t>DC Commission on the Arts &amp; Humanities — FY27 Field Trip Experiences (FTE) Grant</w:t>
      </w:r>
    </w:p>
    <w:p>
      <w:r>
        <w:t>STATUS: Draft for Neo's go/no-go review. Not yet submitted. This proposes a NEW field trip GOODProjects has not yet run — Stephanie Page-Baxter or Phileke Holland should confirm this is deliverable before it goes out.</w:t>
      </w:r>
    </w:p>
    <w:p>
      <w:pPr>
        <w:pStyle w:val="Heading2"/>
      </w:pPr>
      <w:r>
        <w:t>SOLICITATION DETAILS</w:t>
      </w:r>
    </w:p>
    <w:tbl>
      <w:tblPr>
        <w:tblStyle w:val="LightGrid-Accent1"/>
        <w:tblW w:type="auto" w:w="0"/>
        <w:tblLook w:firstColumn="1" w:firstRow="1" w:lastColumn="0" w:lastRow="0" w:noHBand="0" w:noVBand="1" w:val="04A0"/>
      </w:tblPr>
      <w:tblGrid>
        <w:gridCol w:w="4320"/>
        <w:gridCol w:w="4320"/>
      </w:tblGrid>
      <w:tr>
        <w:tc>
          <w:tcPr>
            <w:tcW w:type="dxa" w:w="4320"/>
            <w:shd w:fill="1F4E5F"/>
          </w:tcPr>
          <w:p>
            <w:r>
              <w:rPr>
                <w:b/>
                <w:color w:val="FFFFFF"/>
                <w:sz w:val="20"/>
              </w:rPr>
            </w:r>
            <w:r>
              <w:rPr>
                <w:b/>
                <w:color w:val="FFFFFF"/>
                <w:sz w:val="20"/>
              </w:rPr>
              <w:t>Agency</w:t>
            </w:r>
          </w:p>
        </w:tc>
        <w:tc>
          <w:tcPr>
            <w:tcW w:type="dxa" w:w="4320"/>
            <w:shd w:fill="1F4E5F"/>
          </w:tcPr>
          <w:p>
            <w:r>
              <w:rPr>
                <w:b/>
                <w:color w:val="FFFFFF"/>
                <w:sz w:val="20"/>
              </w:rPr>
            </w:r>
            <w:r>
              <w:rPr>
                <w:b/>
                <w:color w:val="FFFFFF"/>
                <w:sz w:val="20"/>
              </w:rPr>
              <w:t>DC Commission on the Arts and Humanities (CAH)</w:t>
            </w:r>
          </w:p>
        </w:tc>
      </w:tr>
      <w:tr>
        <w:tc>
          <w:tcPr>
            <w:tcW w:type="dxa" w:w="4320"/>
          </w:tcPr>
          <w:p>
            <w:r>
              <w:rPr>
                <w:sz w:val="20"/>
              </w:rPr>
            </w:r>
            <w:r>
              <w:rPr>
                <w:sz w:val="20"/>
              </w:rPr>
              <w:t>Program / RFA</w:t>
            </w:r>
          </w:p>
        </w:tc>
        <w:tc>
          <w:tcPr>
            <w:tcW w:type="dxa" w:w="4320"/>
          </w:tcPr>
          <w:p>
            <w:r>
              <w:rPr>
                <w:sz w:val="20"/>
              </w:rPr>
            </w:r>
            <w:r>
              <w:rPr>
                <w:sz w:val="20"/>
              </w:rPr>
              <w:t>FY27 Field Trip Experiences (FTE) Grant</w:t>
            </w:r>
          </w:p>
        </w:tc>
      </w:tr>
      <w:tr>
        <w:tc>
          <w:tcPr>
            <w:tcW w:type="dxa" w:w="4320"/>
          </w:tcPr>
          <w:p>
            <w:r>
              <w:rPr>
                <w:sz w:val="20"/>
              </w:rPr>
            </w:r>
            <w:r>
              <w:rPr>
                <w:sz w:val="20"/>
              </w:rPr>
              <w:t>Ask Amount</w:t>
            </w:r>
          </w:p>
        </w:tc>
        <w:tc>
          <w:tcPr>
            <w:tcW w:type="dxa" w:w="4320"/>
          </w:tcPr>
          <w:p>
            <w:r>
              <w:rPr>
                <w:sz w:val="20"/>
              </w:rPr>
            </w:r>
            <w:r>
              <w:rPr>
                <w:sz w:val="20"/>
              </w:rPr>
              <w:t>$5,500 (revised from $4,500 — see budget note below)</w:t>
            </w:r>
          </w:p>
        </w:tc>
      </w:tr>
      <w:tr>
        <w:tc>
          <w:tcPr>
            <w:tcW w:type="dxa" w:w="4320"/>
          </w:tcPr>
          <w:p>
            <w:r>
              <w:rPr>
                <w:sz w:val="20"/>
              </w:rPr>
            </w:r>
            <w:r>
              <w:rPr>
                <w:sz w:val="20"/>
              </w:rPr>
              <w:t>Maximum Award (confirmed)</w:t>
            </w:r>
          </w:p>
        </w:tc>
        <w:tc>
          <w:tcPr>
            <w:tcW w:type="dxa" w:w="4320"/>
          </w:tcPr>
          <w:p>
            <w:r>
              <w:rPr>
                <w:sz w:val="20"/>
              </w:rPr>
            </w:r>
            <w:r>
              <w:rPr>
                <w:sz w:val="20"/>
              </w:rPr>
              <w:t>Up to $30,000 — per the live FY27 FTE program page (dcarts.dc.gov/grants/field-trip-experiences), verified directly by Dumisani on July 14, 2026. CORRECTION: an earlier pass in this draft cited $50,000 from a PDF ("CAH FY 2027 Guide to Grants") snippet — that figure was wrong; the live program page is the authoritative source and shows $30,000. Our ask is still well under the cap.</w:t>
            </w:r>
          </w:p>
        </w:tc>
      </w:tr>
      <w:tr>
        <w:tc>
          <w:tcPr>
            <w:tcW w:type="dxa" w:w="4320"/>
          </w:tcPr>
          <w:p>
            <w:r>
              <w:rPr>
                <w:sz w:val="20"/>
              </w:rPr>
            </w:r>
            <w:r>
              <w:rPr>
                <w:sz w:val="20"/>
              </w:rPr>
              <w:t>Deadline</w:t>
            </w:r>
          </w:p>
        </w:tc>
        <w:tc>
          <w:tcPr>
            <w:tcW w:type="dxa" w:w="4320"/>
          </w:tcPr>
          <w:p>
            <w:r>
              <w:rPr>
                <w:sz w:val="20"/>
              </w:rPr>
            </w:r>
            <w:r>
              <w:rPr>
                <w:sz w:val="20"/>
              </w:rPr>
              <w:t>5:00 PM ET, Thursday, July 24, 2026 — confirmed directly from the live FY27 FTE program page (dcarts.dc.gov/grants/field-trip-experiences). Program released Tuesday, June 23, 2026. This resolves the earlier July 24 vs. July 27 discrepancy in Neo's favor of July 24.</w:t>
            </w:r>
          </w:p>
        </w:tc>
      </w:tr>
      <w:tr>
        <w:tc>
          <w:tcPr>
            <w:tcW w:type="dxa" w:w="4320"/>
          </w:tcPr>
          <w:p>
            <w:r>
              <w:rPr>
                <w:sz w:val="20"/>
              </w:rPr>
            </w:r>
            <w:r>
              <w:rPr>
                <w:sz w:val="20"/>
              </w:rPr>
              <w:t>Submission Method</w:t>
            </w:r>
          </w:p>
        </w:tc>
        <w:tc>
          <w:tcPr>
            <w:tcW w:type="dxa" w:w="4320"/>
          </w:tcPr>
          <w:p>
            <w:r>
              <w:rPr>
                <w:sz w:val="20"/>
              </w:rPr>
            </w:r>
            <w:r>
              <w:rPr>
                <w:sz w:val="20"/>
              </w:rPr>
              <w:t>Online ONLY via the CAH Grants Application Portal / Submittable: https://dccommissionontheartshumanities.submittable.com/submit. No mailed, emailed, or hand-delivered applications accepted. Confirmed directly from the full FY27 FTE RFA text (pasted in by Dumisani, July 14, 2026).</w:t>
            </w:r>
          </w:p>
        </w:tc>
      </w:tr>
      <w:tr>
        <w:tc>
          <w:tcPr>
            <w:tcW w:type="dxa" w:w="4320"/>
          </w:tcPr>
          <w:p>
            <w:r>
              <w:rPr>
                <w:sz w:val="20"/>
              </w:rPr>
            </w:r>
            <w:r>
              <w:rPr>
                <w:sz w:val="20"/>
              </w:rPr>
              <w:t>Program Officer</w:t>
            </w:r>
          </w:p>
        </w:tc>
        <w:tc>
          <w:tcPr>
            <w:tcW w:type="dxa" w:w="4320"/>
          </w:tcPr>
          <w:p>
            <w:r>
              <w:rPr>
                <w:sz w:val="20"/>
              </w:rPr>
            </w:r>
            <w:r>
              <w:rPr>
                <w:sz w:val="20"/>
              </w:rPr>
              <w:t>Andrea Brown, Arts Learning Coordinator — andrea.brown3@dc.gov, (202) 671-2304. Commission on the Arts and Humanities, 200 I Street SE, Suite 1400, Washington, DC 20003. Confirmed directly from the RFA's Section VII (CAH Contact) — this name is safe to use, unlike the unverified names an AI search tool surfaced earlier in this process.</w:t>
            </w:r>
          </w:p>
        </w:tc>
      </w:tr>
      <w:tr>
        <w:tc>
          <w:tcPr>
            <w:tcW w:type="dxa" w:w="4320"/>
          </w:tcPr>
          <w:p>
            <w:r>
              <w:rPr>
                <w:sz w:val="20"/>
              </w:rPr>
            </w:r>
            <w:r>
              <w:rPr>
                <w:sz w:val="20"/>
              </w:rPr>
              <w:t>Go/No-Go Confirmed</w:t>
            </w:r>
          </w:p>
        </w:tc>
        <w:tc>
          <w:tcPr>
            <w:tcW w:type="dxa" w:w="4320"/>
          </w:tcPr>
          <w:p>
            <w:r>
              <w:rPr>
                <w:sz w:val="20"/>
              </w:rPr>
            </w:r>
            <w:r>
              <w:rPr>
                <w:sz w:val="20"/>
              </w:rPr>
              <w:t>Not yet — routing to Neo for approval before Phileke/Stephanie are looped in</w:t>
            </w:r>
          </w:p>
        </w:tc>
      </w:tr>
    </w:tbl>
    <w:p/>
    <w:p>
      <w:r>
        <w:t>VERIFY BEFORE SUBMITTING: this proposes a field trip to Arena Stage that GOODProjects has not yet scheduled. This draft is going to Neo first for go/no-go approval on the concept, date, and budget below — Stephanie Page-Baxter (Director of Youth Programming) and Phileke Holland (Afterschool Lead) should only be looped in to confirm operational logistics after Neo signs off.</w:t>
      </w:r>
    </w:p>
    <w:p>
      <w:r>
        <w:t>CORRECTED: the $4/ticket rate originally assumed here was Arena Stage's D.C. Ticket Partnership rate. That program is confirmed restricted to D.C. public/charter schools applying directly — it is not open to nonprofit afterschool programs like GOODLearningHub, and the FY27 application cycle is not yet open (last cycle's deadline was Sept 24, 2025, after this grant's deadline anyway). The budget below now uses Arena Stage's standard Group Sales rate instead. Title I status of partner schools is no longer relevant to this budget for that reason.</w:t>
      </w:r>
    </w:p>
    <w:p>
      <w:pPr>
        <w:pStyle w:val="Heading2"/>
      </w:pPr>
      <w:r>
        <w:t>ELIGIBILITY CHECK (against FY27 FTE RFA Section III)</w:t>
      </w:r>
    </w:p>
    <w:p>
      <w:r>
        <w:t>The RFA lists 8 minimum eligibility requirements, all of which must be met at submission:</w:t>
      </w:r>
    </w:p>
    <w:p>
      <w:pPr>
        <w:pStyle w:val="ListNumber"/>
      </w:pPr>
      <w:r>
        <w:t>501(c)(3) status, IRS letter dated at least 1 year before deadline — [x] on file, GOODProjects has held this well over a year</w:t>
      </w:r>
    </w:p>
    <w:p>
      <w:pPr>
        <w:pStyle w:val="ListNumber"/>
      </w:pPr>
      <w:r>
        <w:t>Registered/authorized to do business in DC — [ ] needs confirming this is current</w:t>
      </w:r>
    </w:p>
    <w:p>
      <w:pPr>
        <w:pStyle w:val="ListNumber"/>
      </w:pPr>
      <w:r>
        <w:t>Planning and implementation fully carried out in DC — [x] Arena Stage is in Southwest DC</w:t>
      </w:r>
    </w:p>
    <w:p>
      <w:pPr>
        <w:pStyle w:val="ListNumber"/>
      </w:pPr>
      <w:r>
        <w:t>Active Board of Directors — [x] available</w:t>
      </w:r>
    </w:p>
    <w:p>
      <w:pPr>
        <w:pStyle w:val="ListNumber"/>
      </w:pPr>
      <w:r>
        <w:t xml:space="preserve">Registered with DLCP, OCFO, DOES, and IRS — [ ] </w:t>
      </w:r>
      <w:r>
        <w:rPr>
          <w:b/>
        </w:rPr>
        <w:t>FLAG: this is likely tied to the missing Business License.</w:t>
      </w:r>
      <w:r>
        <w:t xml:space="preserve"> The Business License gap noted in the attachments checklist may not just be a missing document — DLCP registration is a baseline eligibility requirement here. Confirm GOODProjects' DLCP/business license status before treating this as a simple paperwork gap; if it's genuinely missing, that's a bigger problem than an attachment checkbox.</w:t>
      </w:r>
    </w:p>
    <w:p>
      <w:pPr>
        <w:pStyle w:val="ListNumber"/>
      </w:pPr>
      <w:r>
        <w:t>Current on DC taxes/liabilities, or Clean Hands certified — [ ] on file but likely stale, see attachments checklist</w:t>
      </w:r>
    </w:p>
    <w:p>
      <w:pPr>
        <w:pStyle w:val="ListNumber"/>
      </w:pPr>
      <w:r>
        <w:t>Good standing with CAH — [x] no known issues</w:t>
      </w:r>
    </w:p>
    <w:p>
      <w:pPr>
        <w:pStyle w:val="ListNumber"/>
      </w:pPr>
      <w:r>
        <w:t>Principal business office address in DC, not a PO box — [x] 996 Maine Avenue SW, Suite 208, confirmed physical DC address</w:t>
      </w:r>
    </w:p>
    <w:p>
      <w:r>
        <w:t>OTHER ELIGIBILITY NOTES:</w:t>
      </w:r>
    </w:p>
    <w:p>
      <w:pPr>
        <w:pStyle w:val="ListBullet"/>
      </w:pPr>
      <w:r>
        <w:rPr>
          <w:b/>
        </w:rPr>
        <w:t>GOS overlap rule:</w:t>
      </w:r>
      <w:r>
        <w:t xml:space="preserve"> if GOODProjects has applied for or plans to accept a CAH FY27 General Operating Support (GOS) award, this FTE application is only allowed if it represents genuinely new/additional programming beyond the GOS scope. NEED TO CONFIRM: has GOODProjects applied for FY27 GOS this cycle? If yes, Neo needs to confirm this field trip isn't already covered there.</w:t>
      </w:r>
    </w:p>
    <w:p>
      <w:pPr>
        <w:pStyle w:val="ListBullet"/>
      </w:pPr>
      <w:r>
        <w:t>One FTE application per fiscal year — fine, this is our only one.</w:t>
      </w:r>
    </w:p>
    <w:p>
      <w:pPr>
        <w:pStyle w:val="ListBullet"/>
      </w:pPr>
      <w:r>
        <w:t>No match/cost-share required — confirmed, matches our budget.</w:t>
      </w:r>
    </w:p>
    <w:p>
      <w:pPr>
        <w:pStyle w:val="ListBullet"/>
      </w:pPr>
      <w:r>
        <w:t>Not ineligible on any of the RFA's exclusion grounds (not a service org, not majority non-DC constituents, not requiring a fiscal agent, not for-profit, etc.) — GOODProjects appears to clear all of these.</w:t>
      </w:r>
    </w:p>
    <w:p>
      <w:r>
        <w:t xml:space="preserve">TECHNICAL ASSISTANCE STILL AVAILABLE: CAH offers 30-minute application review appointments, but they must be scheduled at least 7 calendar days before the deadline — meaning the cutoff to request one is </w:t>
      </w:r>
      <w:r>
        <w:rPr>
          <w:b/>
        </w:rPr>
        <w:t>Friday, July 17, 2026</w:t>
      </w:r>
      <w:r>
        <w:t>. Given the number of open items above, worth considering booking a slot before that cutoff, contacting Andrea Brown (andrea.brown3@dc.gov, 202-671-2304).</w:t>
      </w:r>
    </w:p>
    <w:p>
      <w:pPr>
        <w:pStyle w:val="Heading2"/>
      </w:pPr>
      <w:r>
        <w:t>SCOPE OF WORK / PROJECT NARRATIVE</w:t>
      </w:r>
    </w:p>
    <w:p>
      <w:pPr>
        <w:pStyle w:val="Heading3"/>
      </w:pPr>
      <w:r>
        <w:t>Program Purpose and Goals</w:t>
      </w:r>
    </w:p>
    <w:p>
      <w:r>
        <w:t>GOODProjects requests $5,500 to provide a GOODLearningHub arts and humanities field trip experience: a weekday matinee performance of Step Afrika!'s Magical Musical Holiday Step Show at Arena Stage, a professional theater in Southwest DC, for youth enrolled in GOODLearningHub. This production was chosen specifically for this age group and community: it is Arena Stage's annual family-friendly holiday production, built around the African American tradition of stepping, and runs December 4–23, 2026, inside GOODLearningHub's Fall II session (Nov 30 – Dec 17, 2026). This directly matches CAH's Field Trip Experiences goal of providing comprehensive arts and humanities field trip experiences that advance student achievement, paired with pre- and post-trip workshops and professional development for staff.</w:t>
      </w:r>
    </w:p>
    <w:p>
      <w:r>
        <w:t>PROPOSED DATE: Thursday, December 10, 2026 (weekday matinee). Arena Stage's 2026/27 performance calendar with exact matinee times has not yet been published; this date is projected from the prior year's run, which held weekday matinees on Thursdays at 12PM (Dec 11 and Dec 18, 2025). Thursday, December 17, 2026 is a possible backup but falls on the last day of the Fall II session, leaving no scheduling buffer. Confirm the actual 2026/27 matinee calendar with Arena Stage Group Sales (202-488-4380 / groups@arenastage.org) once Neo approves moving forward.</w:t>
      </w:r>
    </w:p>
    <w:p>
      <w:pPr>
        <w:pStyle w:val="Heading3"/>
      </w:pPr>
      <w:r>
        <w:t>Target Population</w:t>
      </w:r>
    </w:p>
    <w:p>
      <w:r>
        <w:t>Residents of James Creek, Syphax Gardens, and Greenleaf public housing communities in Southwest DC's Ward 6, enrolled in GOODLearningHub.</w:t>
      </w:r>
    </w:p>
    <w:tbl>
      <w:tblPr>
        <w:tblStyle w:val="LightGrid-Accent1"/>
        <w:tblW w:type="auto" w:w="0"/>
        <w:tblLook w:firstColumn="1" w:firstRow="1" w:lastColumn="0" w:lastRow="0" w:noHBand="0" w:noVBand="1" w:val="04A0"/>
      </w:tblPr>
      <w:tblGrid>
        <w:gridCol w:w="4320"/>
        <w:gridCol w:w="4320"/>
      </w:tblGrid>
      <w:tr>
        <w:tc>
          <w:tcPr>
            <w:tcW w:type="dxa" w:w="4320"/>
            <w:shd w:fill="1F4E5F"/>
          </w:tcPr>
          <w:p>
            <w:r>
              <w:rPr>
                <w:b/>
                <w:color w:val="FFFFFF"/>
                <w:sz w:val="20"/>
              </w:rPr>
            </w:r>
            <w:r>
              <w:rPr>
                <w:b/>
                <w:color w:val="FFFFFF"/>
                <w:sz w:val="20"/>
              </w:rPr>
              <w:t>Total Unduplicated Participants</w:t>
            </w:r>
          </w:p>
        </w:tc>
        <w:tc>
          <w:tcPr>
            <w:tcW w:type="dxa" w:w="4320"/>
            <w:shd w:fill="1F4E5F"/>
          </w:tcPr>
          <w:p>
            <w:r>
              <w:rPr>
                <w:b/>
                <w:color w:val="FFFFFF"/>
                <w:sz w:val="20"/>
              </w:rPr>
            </w:r>
            <w:r>
              <w:rPr>
                <w:b/>
                <w:color w:val="FFFFFF"/>
                <w:sz w:val="20"/>
              </w:rPr>
              <w:t>30 youth per matinee session (Arena Stage's Group Sales minimum for group rate), drawn from GOODLearningHub's 73 enrolled students</w:t>
            </w:r>
          </w:p>
        </w:tc>
      </w:tr>
      <w:tr>
        <w:tc>
          <w:tcPr>
            <w:tcW w:type="dxa" w:w="4320"/>
          </w:tcPr>
          <w:p>
            <w:r>
              <w:rPr>
                <w:sz w:val="20"/>
              </w:rPr>
            </w:r>
            <w:r>
              <w:rPr>
                <w:sz w:val="20"/>
              </w:rPr>
              <w:t>Age Range</w:t>
            </w:r>
          </w:p>
        </w:tc>
        <w:tc>
          <w:tcPr>
            <w:tcW w:type="dxa" w:w="4320"/>
          </w:tcPr>
          <w:p>
            <w:r>
              <w:rPr>
                <w:sz w:val="20"/>
              </w:rPr>
            </w:r>
            <w:r>
              <w:rPr>
                <w:sz w:val="20"/>
              </w:rPr>
              <w:t>5 to 14</w:t>
            </w:r>
          </w:p>
        </w:tc>
      </w:tr>
      <w:tr>
        <w:tc>
          <w:tcPr>
            <w:tcW w:type="dxa" w:w="4320"/>
          </w:tcPr>
          <w:p>
            <w:r>
              <w:rPr>
                <w:sz w:val="20"/>
              </w:rPr>
            </w:r>
            <w:r>
              <w:rPr>
                <w:sz w:val="20"/>
              </w:rPr>
              <w:t>Primary Demographic</w:t>
            </w:r>
          </w:p>
        </w:tc>
        <w:tc>
          <w:tcPr>
            <w:tcW w:type="dxa" w:w="4320"/>
          </w:tcPr>
          <w:p>
            <w:r>
              <w:rPr>
                <w:sz w:val="20"/>
              </w:rPr>
            </w:r>
            <w:r>
              <w:rPr>
                <w:sz w:val="20"/>
              </w:rPr>
              <w:t>Black / African American (approximately 95%)</w:t>
            </w:r>
          </w:p>
        </w:tc>
      </w:tr>
      <w:tr>
        <w:tc>
          <w:tcPr>
            <w:tcW w:type="dxa" w:w="4320"/>
          </w:tcPr>
          <w:p>
            <w:r>
              <w:rPr>
                <w:sz w:val="20"/>
              </w:rPr>
            </w:r>
            <w:r>
              <w:rPr>
                <w:sz w:val="20"/>
              </w:rPr>
              <w:t>Income Level</w:t>
            </w:r>
          </w:p>
        </w:tc>
        <w:tc>
          <w:tcPr>
            <w:tcW w:type="dxa" w:w="4320"/>
          </w:tcPr>
          <w:p>
            <w:r>
              <w:rPr>
                <w:sz w:val="20"/>
              </w:rPr>
            </w:r>
            <w:r>
              <w:rPr>
                <w:sz w:val="20"/>
              </w:rPr>
              <w:t>Below 200% federal poverty line</w:t>
            </w:r>
          </w:p>
        </w:tc>
      </w:tr>
      <w:tr>
        <w:tc>
          <w:tcPr>
            <w:tcW w:type="dxa" w:w="4320"/>
          </w:tcPr>
          <w:p>
            <w:r>
              <w:rPr>
                <w:sz w:val="20"/>
              </w:rPr>
            </w:r>
            <w:r>
              <w:rPr>
                <w:sz w:val="20"/>
              </w:rPr>
              <w:t>Geographic Area</w:t>
            </w:r>
          </w:p>
        </w:tc>
        <w:tc>
          <w:tcPr>
            <w:tcW w:type="dxa" w:w="4320"/>
          </w:tcPr>
          <w:p>
            <w:r>
              <w:rPr>
                <w:sz w:val="20"/>
              </w:rPr>
            </w:r>
            <w:r>
              <w:rPr>
                <w:sz w:val="20"/>
              </w:rPr>
              <w:t>Ward 6, Southwest DC; field trip destination is Arena Stage, 1101 6th Street SW, Washington, DC 20024, itself in Southwest DC near GOODProjects' own service area</w:t>
            </w:r>
          </w:p>
        </w:tc>
      </w:tr>
    </w:tbl>
    <w:p/>
    <w:p>
      <w:r>
        <w:t>RESOLVED (from the actual FY27 RFA text, Section I): organizations MUST target exactly ONE grade grouping, each tied to a specific discipline:</w:t>
      </w:r>
    </w:p>
    <w:tbl>
      <w:tblPr>
        <w:tblStyle w:val="LightGrid-Accent1"/>
        <w:tblW w:type="auto" w:w="0"/>
        <w:tblLook w:firstColumn="1" w:firstRow="1" w:lastColumn="0" w:lastRow="0" w:noHBand="0" w:noVBand="1" w:val="04A0"/>
      </w:tblPr>
      <w:tblGrid>
        <w:gridCol w:w="4320"/>
        <w:gridCol w:w="4320"/>
      </w:tblGrid>
      <w:tr>
        <w:tc>
          <w:tcPr>
            <w:tcW w:type="dxa" w:w="4320"/>
            <w:shd w:fill="1F4E5F"/>
          </w:tcPr>
          <w:p>
            <w:r>
              <w:rPr>
                <w:b/>
                <w:color w:val="FFFFFF"/>
                <w:sz w:val="20"/>
              </w:rPr>
            </w:r>
            <w:r>
              <w:rPr>
                <w:b/>
                <w:color w:val="FFFFFF"/>
                <w:sz w:val="20"/>
              </w:rPr>
              <w:t>Grade Grouping</w:t>
            </w:r>
          </w:p>
        </w:tc>
        <w:tc>
          <w:tcPr>
            <w:tcW w:type="dxa" w:w="4320"/>
            <w:shd w:fill="1F4E5F"/>
          </w:tcPr>
          <w:p>
            <w:r>
              <w:rPr>
                <w:b/>
                <w:color w:val="FFFFFF"/>
                <w:sz w:val="20"/>
              </w:rPr>
            </w:r>
            <w:r>
              <w:rPr>
                <w:b/>
                <w:color w:val="FFFFFF"/>
                <w:sz w:val="20"/>
              </w:rPr>
              <w:t>Allowed Discipline Focus</w:t>
            </w:r>
          </w:p>
        </w:tc>
      </w:tr>
      <w:tr>
        <w:tc>
          <w:tcPr>
            <w:tcW w:type="dxa" w:w="4320"/>
          </w:tcPr>
          <w:p>
            <w:r>
              <w:rPr>
                <w:sz w:val="20"/>
              </w:rPr>
            </w:r>
            <w:r>
              <w:rPr>
                <w:sz w:val="20"/>
              </w:rPr>
              <w:t>Kindergarten – 2nd Grade</w:t>
            </w:r>
          </w:p>
        </w:tc>
        <w:tc>
          <w:tcPr>
            <w:tcW w:type="dxa" w:w="4320"/>
          </w:tcPr>
          <w:p>
            <w:r>
              <w:rPr>
                <w:sz w:val="20"/>
              </w:rPr>
            </w:r>
            <w:r>
              <w:rPr>
                <w:sz w:val="20"/>
              </w:rPr>
              <w:t>Dance, Music, or Visual Arts</w:t>
            </w:r>
          </w:p>
        </w:tc>
      </w:tr>
      <w:tr>
        <w:tc>
          <w:tcPr>
            <w:tcW w:type="dxa" w:w="4320"/>
          </w:tcPr>
          <w:p>
            <w:r>
              <w:rPr>
                <w:sz w:val="20"/>
              </w:rPr>
            </w:r>
            <w:r>
              <w:rPr>
                <w:sz w:val="20"/>
              </w:rPr>
              <w:t>3rd – 5th Grade</w:t>
            </w:r>
          </w:p>
        </w:tc>
        <w:tc>
          <w:tcPr>
            <w:tcW w:type="dxa" w:w="4320"/>
          </w:tcPr>
          <w:p>
            <w:r>
              <w:rPr>
                <w:sz w:val="20"/>
              </w:rPr>
            </w:r>
            <w:r>
              <w:rPr>
                <w:sz w:val="20"/>
              </w:rPr>
              <w:t>Music or Visual Arts</w:t>
            </w:r>
          </w:p>
        </w:tc>
      </w:tr>
      <w:tr>
        <w:tc>
          <w:tcPr>
            <w:tcW w:type="dxa" w:w="4320"/>
          </w:tcPr>
          <w:p>
            <w:r>
              <w:rPr>
                <w:sz w:val="20"/>
              </w:rPr>
            </w:r>
            <w:r>
              <w:rPr>
                <w:sz w:val="20"/>
              </w:rPr>
              <w:t>6th – 8th Grade</w:t>
            </w:r>
          </w:p>
        </w:tc>
        <w:tc>
          <w:tcPr>
            <w:tcW w:type="dxa" w:w="4320"/>
          </w:tcPr>
          <w:p>
            <w:r>
              <w:rPr>
                <w:sz w:val="20"/>
              </w:rPr>
            </w:r>
            <w:r>
              <w:rPr>
                <w:sz w:val="20"/>
              </w:rPr>
              <w:t>Dance, Film, or Theatre</w:t>
            </w:r>
          </w:p>
        </w:tc>
      </w:tr>
      <w:tr>
        <w:tc>
          <w:tcPr>
            <w:tcW w:type="dxa" w:w="4320"/>
          </w:tcPr>
          <w:p>
            <w:r>
              <w:rPr>
                <w:sz w:val="20"/>
              </w:rPr>
            </w:r>
            <w:r>
              <w:rPr>
                <w:sz w:val="20"/>
              </w:rPr>
              <w:t>9th – 12th Grade</w:t>
            </w:r>
          </w:p>
        </w:tc>
        <w:tc>
          <w:tcPr>
            <w:tcW w:type="dxa" w:w="4320"/>
          </w:tcPr>
          <w:p>
            <w:r>
              <w:rPr>
                <w:sz w:val="20"/>
              </w:rPr>
            </w:r>
            <w:r>
              <w:rPr>
                <w:sz w:val="20"/>
              </w:rPr>
              <w:t>Film or Theatre</w:t>
            </w:r>
          </w:p>
        </w:tc>
      </w:tr>
    </w:tbl>
    <w:p/>
    <w:p>
      <w:r>
        <w:t xml:space="preserve">IMPORTANT DISCIPLINE FLAG: Theatre is only an eligible discipline for the 6-8 and 9-12 bands. If this application is filed under "Theatre," it is only eligible for grades 6-8 or 9-12 — not K-2 or 3-5. However, Step Afrika! is officially a dance company (its own materials describe it as an "internationally acclaimed Dance Company"), so this trip can reasonably be classified under </w:t>
      </w:r>
      <w:r>
        <w:rPr>
          <w:b/>
        </w:rPr>
        <w:t>Dance</w:t>
      </w:r>
      <w:r>
        <w:t xml:space="preserve"> instead of Theatre — which is an eligible discipline for K-2, 3-5, AND 6-8. Recommend classifying this application under Dance and picking ONE band from K-2, 3-5, or 6-8 (not a 5-14 span). This is a decision for Neo: GOODLearningHub's exact grade breakdown (not just ages) within its 73 enrolled students needs to be pulled to pick the band with the most eligible students. Our current 30-youth, ages-5-14 framing must be narrowed before submission or the application risks disqualification for not targeting a single grade grouping.</w:t>
      </w:r>
    </w:p>
    <w:p>
      <w:pPr>
        <w:pStyle w:val="Heading3"/>
      </w:pPr>
      <w:r>
        <w:t>Activities and Deliverables</w:t>
      </w:r>
    </w:p>
    <w:tbl>
      <w:tblPr>
        <w:tblStyle w:val="LightGrid-Accent1"/>
        <w:tblW w:type="auto" w:w="0"/>
        <w:tblLook w:firstColumn="1" w:firstRow="1" w:lastColumn="0" w:lastRow="0" w:noHBand="0" w:noVBand="1" w:val="04A0"/>
      </w:tblPr>
      <w:tblGrid>
        <w:gridCol w:w="4320"/>
        <w:gridCol w:w="4320"/>
      </w:tblGrid>
      <w:tr>
        <w:tc>
          <w:tcPr>
            <w:tcW w:type="dxa" w:w="4320"/>
            <w:shd w:fill="1F4E5F"/>
          </w:tcPr>
          <w:p>
            <w:r>
              <w:rPr>
                <w:b/>
                <w:color w:val="FFFFFF"/>
                <w:sz w:val="20"/>
              </w:rPr>
            </w:r>
            <w:r>
              <w:rPr>
                <w:b/>
                <w:color w:val="FFFFFF"/>
                <w:sz w:val="20"/>
              </w:rPr>
              <w:t>Deliverable</w:t>
            </w:r>
          </w:p>
        </w:tc>
        <w:tc>
          <w:tcPr>
            <w:tcW w:type="dxa" w:w="4320"/>
            <w:shd w:fill="1F4E5F"/>
          </w:tcPr>
          <w:p>
            <w:r>
              <w:rPr>
                <w:b/>
                <w:color w:val="FFFFFF"/>
                <w:sz w:val="20"/>
              </w:rPr>
            </w:r>
            <w:r>
              <w:rPr>
                <w:b/>
                <w:color w:val="FFFFFF"/>
                <w:sz w:val="20"/>
              </w:rPr>
              <w:t>Timeline</w:t>
            </w:r>
          </w:p>
        </w:tc>
      </w:tr>
      <w:tr>
        <w:tc>
          <w:tcPr>
            <w:tcW w:type="dxa" w:w="4320"/>
          </w:tcPr>
          <w:p>
            <w:r>
              <w:rPr>
                <w:sz w:val="20"/>
              </w:rPr>
            </w:r>
            <w:r>
              <w:rPr>
                <w:sz w:val="20"/>
              </w:rPr>
              <w:t>Book weekday matinee of Step Afrika!'s Magical Musical Holiday Step Show through Arena Stage Group Sales (not the D.C. Ticket Partnership — see budget note)</w:t>
            </w:r>
          </w:p>
        </w:tc>
        <w:tc>
          <w:tcPr>
            <w:tcW w:type="dxa" w:w="4320"/>
          </w:tcPr>
          <w:p>
            <w:r>
              <w:rPr>
                <w:sz w:val="20"/>
              </w:rPr>
            </w:r>
            <w:r>
              <w:rPr>
                <w:sz w:val="20"/>
              </w:rPr>
              <w:t>Month 1</w:t>
            </w:r>
          </w:p>
        </w:tc>
      </w:tr>
      <w:tr>
        <w:tc>
          <w:tcPr>
            <w:tcW w:type="dxa" w:w="4320"/>
          </w:tcPr>
          <w:p>
            <w:r>
              <w:rPr>
                <w:sz w:val="20"/>
              </w:rPr>
            </w:r>
            <w:r>
              <w:rPr>
                <w:sz w:val="20"/>
              </w:rPr>
              <w:t>Pre-trip in-class workshop connecting the production's themes to GOODLearningHub's Social-Emotional Learning curriculum (GOODLearningHub-led)</w:t>
            </w:r>
          </w:p>
        </w:tc>
        <w:tc>
          <w:tcPr>
            <w:tcW w:type="dxa" w:w="4320"/>
          </w:tcPr>
          <w:p>
            <w:r>
              <w:rPr>
                <w:sz w:val="20"/>
              </w:rPr>
            </w:r>
            <w:r>
              <w:rPr>
                <w:sz w:val="20"/>
              </w:rPr>
              <w:t>Month 2, before the matinee</w:t>
            </w:r>
          </w:p>
        </w:tc>
      </w:tr>
      <w:tr>
        <w:tc>
          <w:tcPr>
            <w:tcW w:type="dxa" w:w="4320"/>
          </w:tcPr>
          <w:p>
            <w:r>
              <w:rPr>
                <w:sz w:val="20"/>
              </w:rPr>
            </w:r>
            <w:r>
              <w:rPr>
                <w:sz w:val="20"/>
              </w:rPr>
              <w:t>Field trip: matinee performance for 30 youth, including transportation</w:t>
            </w:r>
          </w:p>
        </w:tc>
        <w:tc>
          <w:tcPr>
            <w:tcW w:type="dxa" w:w="4320"/>
          </w:tcPr>
          <w:p>
            <w:r>
              <w:rPr>
                <w:sz w:val="20"/>
              </w:rPr>
            </w:r>
            <w:r>
              <w:rPr>
                <w:sz w:val="20"/>
              </w:rPr>
              <w:t>Month 2</w:t>
            </w:r>
          </w:p>
        </w:tc>
      </w:tr>
      <w:tr>
        <w:tc>
          <w:tcPr>
            <w:tcW w:type="dxa" w:w="4320"/>
          </w:tcPr>
          <w:p>
            <w:r>
              <w:rPr>
                <w:sz w:val="20"/>
              </w:rPr>
            </w:r>
            <w:r>
              <w:rPr>
                <w:sz w:val="20"/>
              </w:rPr>
              <w:t>On-site workshop/backstage tour with Arena Stage teaching artists (via Group Sales "Interactive" add-on package)</w:t>
            </w:r>
          </w:p>
        </w:tc>
        <w:tc>
          <w:tcPr>
            <w:tcW w:type="dxa" w:w="4320"/>
          </w:tcPr>
          <w:p>
            <w:r>
              <w:rPr>
                <w:sz w:val="20"/>
              </w:rPr>
            </w:r>
            <w:r>
              <w:rPr>
                <w:sz w:val="20"/>
              </w:rPr>
              <w:t>Same day as matinee</w:t>
            </w:r>
          </w:p>
        </w:tc>
      </w:tr>
      <w:tr>
        <w:tc>
          <w:tcPr>
            <w:tcW w:type="dxa" w:w="4320"/>
          </w:tcPr>
          <w:p>
            <w:r>
              <w:rPr>
                <w:sz w:val="20"/>
              </w:rPr>
            </w:r>
            <w:r>
              <w:rPr>
                <w:sz w:val="20"/>
              </w:rPr>
              <w:t>Professional development session for Youth Services Advocates on integrating theater-based learning into afterschool programming</w:t>
            </w:r>
          </w:p>
        </w:tc>
        <w:tc>
          <w:tcPr>
            <w:tcW w:type="dxa" w:w="4320"/>
          </w:tcPr>
          <w:p>
            <w:r>
              <w:rPr>
                <w:sz w:val="20"/>
              </w:rPr>
            </w:r>
            <w:r>
              <w:rPr>
                <w:sz w:val="20"/>
              </w:rPr>
              <w:t>Month 2 or 3</w:t>
            </w:r>
          </w:p>
        </w:tc>
      </w:tr>
      <w:tr>
        <w:tc>
          <w:tcPr>
            <w:tcW w:type="dxa" w:w="4320"/>
          </w:tcPr>
          <w:p>
            <w:r>
              <w:rPr>
                <w:sz w:val="20"/>
              </w:rPr>
            </w:r>
            <w:r>
              <w:rPr>
                <w:sz w:val="20"/>
              </w:rPr>
              <w:t>Final Report</w:t>
            </w:r>
          </w:p>
        </w:tc>
        <w:tc>
          <w:tcPr>
            <w:tcW w:type="dxa" w:w="4320"/>
          </w:tcPr>
          <w:p>
            <w:r>
              <w:rPr>
                <w:sz w:val="20"/>
              </w:rPr>
            </w:r>
            <w:r>
              <w:rPr>
                <w:sz w:val="20"/>
              </w:rPr>
              <w:t>30 days post-program</w:t>
            </w:r>
          </w:p>
        </w:tc>
      </w:tr>
    </w:tbl>
    <w:p/>
    <w:p>
      <w:r>
        <w:t>CORRECTED: the original deliverable list included a "post-show talkback with Arena Stage teaching artists," which is a benefit exclusive to the D.C. Ticket Partnership program (confirmed not open to GOODLearningHub — see below). It has been replaced with Arena Stage's "Interactive" add-on package, which is actually purchasable through standard Group Sales and includes a workshop or backstage tour with teaching artists, a pre-show program, and printed Learning Guides.</w:t>
      </w:r>
    </w:p>
    <w:p>
      <w:pPr>
        <w:pStyle w:val="Heading3"/>
      </w:pPr>
      <w:r>
        <w:t>Staffing Plan</w:t>
      </w:r>
    </w:p>
    <w:tbl>
      <w:tblPr>
        <w:tblStyle w:val="LightGrid-Accent1"/>
        <w:tblW w:type="auto" w:w="0"/>
        <w:tblLook w:firstColumn="1" w:firstRow="1" w:lastColumn="0" w:lastRow="0" w:noHBand="0" w:noVBand="1" w:val="04A0"/>
      </w:tblPr>
      <w:tblGrid>
        <w:gridCol w:w="4320"/>
        <w:gridCol w:w="4320"/>
      </w:tblGrid>
      <w:tr>
        <w:tc>
          <w:tcPr>
            <w:tcW w:type="dxa" w:w="4320"/>
            <w:shd w:fill="1F4E5F"/>
          </w:tcPr>
          <w:p>
            <w:r>
              <w:rPr>
                <w:b/>
                <w:color w:val="FFFFFF"/>
                <w:sz w:val="20"/>
              </w:rPr>
            </w:r>
            <w:r>
              <w:rPr>
                <w:b/>
                <w:color w:val="FFFFFF"/>
                <w:sz w:val="20"/>
              </w:rPr>
              <w:t>Name</w:t>
            </w:r>
          </w:p>
        </w:tc>
        <w:tc>
          <w:tcPr>
            <w:tcW w:type="dxa" w:w="4320"/>
            <w:shd w:fill="1F4E5F"/>
          </w:tcPr>
          <w:p>
            <w:r>
              <w:rPr>
                <w:b/>
                <w:color w:val="FFFFFF"/>
                <w:sz w:val="20"/>
              </w:rPr>
            </w:r>
            <w:r>
              <w:rPr>
                <w:b/>
                <w:color w:val="FFFFFF"/>
                <w:sz w:val="20"/>
              </w:rPr>
              <w:t>Role</w:t>
            </w:r>
          </w:p>
        </w:tc>
      </w:tr>
      <w:tr>
        <w:tc>
          <w:tcPr>
            <w:tcW w:type="dxa" w:w="4320"/>
          </w:tcPr>
          <w:p>
            <w:r>
              <w:rPr>
                <w:sz w:val="20"/>
              </w:rPr>
            </w:r>
            <w:r>
              <w:rPr>
                <w:sz w:val="20"/>
              </w:rPr>
              <w:t>Darius Baxter</w:t>
            </w:r>
          </w:p>
        </w:tc>
        <w:tc>
          <w:tcPr>
            <w:tcW w:type="dxa" w:w="4320"/>
          </w:tcPr>
          <w:p>
            <w:r>
              <w:rPr>
                <w:sz w:val="20"/>
              </w:rPr>
            </w:r>
            <w:r>
              <w:rPr>
                <w:sz w:val="20"/>
              </w:rPr>
              <w:t>Founder &amp; CEO / Authorized Signatory</w:t>
            </w:r>
          </w:p>
        </w:tc>
      </w:tr>
      <w:tr>
        <w:tc>
          <w:tcPr>
            <w:tcW w:type="dxa" w:w="4320"/>
          </w:tcPr>
          <w:p>
            <w:r>
              <w:rPr>
                <w:sz w:val="20"/>
              </w:rPr>
            </w:r>
            <w:r>
              <w:rPr>
                <w:sz w:val="20"/>
              </w:rPr>
              <w:t>Demetruis Baxter</w:t>
            </w:r>
          </w:p>
        </w:tc>
        <w:tc>
          <w:tcPr>
            <w:tcW w:type="dxa" w:w="4320"/>
          </w:tcPr>
          <w:p>
            <w:r>
              <w:rPr>
                <w:sz w:val="20"/>
              </w:rPr>
            </w:r>
            <w:r>
              <w:rPr>
                <w:sz w:val="20"/>
              </w:rPr>
              <w:t>Chief of Staff</w:t>
            </w:r>
          </w:p>
        </w:tc>
      </w:tr>
      <w:tr>
        <w:tc>
          <w:tcPr>
            <w:tcW w:type="dxa" w:w="4320"/>
          </w:tcPr>
          <w:p>
            <w:r>
              <w:rPr>
                <w:sz w:val="20"/>
              </w:rPr>
            </w:r>
            <w:r>
              <w:rPr>
                <w:sz w:val="20"/>
              </w:rPr>
              <w:t>Stephanie Page-Baxter</w:t>
            </w:r>
          </w:p>
        </w:tc>
        <w:tc>
          <w:tcPr>
            <w:tcW w:type="dxa" w:w="4320"/>
          </w:tcPr>
          <w:p>
            <w:r>
              <w:rPr>
                <w:sz w:val="20"/>
              </w:rPr>
            </w:r>
            <w:r>
              <w:rPr>
                <w:sz w:val="20"/>
              </w:rPr>
              <w:t>Director of Youth Programming</w:t>
            </w:r>
          </w:p>
        </w:tc>
      </w:tr>
      <w:tr>
        <w:tc>
          <w:tcPr>
            <w:tcW w:type="dxa" w:w="4320"/>
          </w:tcPr>
          <w:p>
            <w:r>
              <w:rPr>
                <w:sz w:val="20"/>
              </w:rPr>
            </w:r>
            <w:r>
              <w:rPr>
                <w:sz w:val="20"/>
              </w:rPr>
              <w:t>Neo Mangope</w:t>
            </w:r>
          </w:p>
        </w:tc>
        <w:tc>
          <w:tcPr>
            <w:tcW w:type="dxa" w:w="4320"/>
          </w:tcPr>
          <w:p>
            <w:r>
              <w:rPr>
                <w:sz w:val="20"/>
              </w:rPr>
            </w:r>
            <w:r>
              <w:rPr>
                <w:sz w:val="20"/>
              </w:rPr>
              <w:t>Fundraising &amp; Grants Officer</w:t>
            </w:r>
          </w:p>
        </w:tc>
      </w:tr>
      <w:tr>
        <w:tc>
          <w:tcPr>
            <w:tcW w:type="dxa" w:w="4320"/>
          </w:tcPr>
          <w:p>
            <w:r>
              <w:rPr>
                <w:sz w:val="20"/>
              </w:rPr>
            </w:r>
            <w:r>
              <w:rPr>
                <w:sz w:val="20"/>
              </w:rPr>
              <w:t>Phileke Holland</w:t>
            </w:r>
          </w:p>
        </w:tc>
        <w:tc>
          <w:tcPr>
            <w:tcW w:type="dxa" w:w="4320"/>
          </w:tcPr>
          <w:p>
            <w:r>
              <w:rPr>
                <w:sz w:val="20"/>
              </w:rPr>
            </w:r>
            <w:r>
              <w:rPr>
                <w:sz w:val="20"/>
              </w:rPr>
              <w:t>Afterschool Lead / Youth Program Coordinator (would lead trip logistics)</w:t>
            </w:r>
          </w:p>
        </w:tc>
      </w:tr>
      <w:tr>
        <w:tc>
          <w:tcPr>
            <w:tcW w:type="dxa" w:w="4320"/>
          </w:tcPr>
          <w:p>
            <w:r>
              <w:rPr>
                <w:sz w:val="20"/>
              </w:rPr>
            </w:r>
            <w:r>
              <w:rPr>
                <w:sz w:val="20"/>
              </w:rPr>
              <w:t>Cole Bradshaw</w:t>
            </w:r>
          </w:p>
        </w:tc>
        <w:tc>
          <w:tcPr>
            <w:tcW w:type="dxa" w:w="4320"/>
          </w:tcPr>
          <w:p>
            <w:r>
              <w:rPr>
                <w:sz w:val="20"/>
              </w:rPr>
            </w:r>
            <w:r>
              <w:rPr>
                <w:sz w:val="20"/>
              </w:rPr>
              <w:t>Finance &amp; Operations</w:t>
            </w:r>
          </w:p>
        </w:tc>
      </w:tr>
      <w:tr>
        <w:tc>
          <w:tcPr>
            <w:tcW w:type="dxa" w:w="4320"/>
          </w:tcPr>
          <w:p>
            <w:r>
              <w:rPr>
                <w:sz w:val="20"/>
              </w:rPr>
            </w:r>
            <w:r>
              <w:rPr>
                <w:sz w:val="20"/>
              </w:rPr>
              <w:t>Melissa</w:t>
            </w:r>
          </w:p>
        </w:tc>
        <w:tc>
          <w:tcPr>
            <w:tcW w:type="dxa" w:w="4320"/>
          </w:tcPr>
          <w:p>
            <w:r>
              <w:rPr>
                <w:sz w:val="20"/>
              </w:rPr>
            </w:r>
            <w:r>
              <w:rPr>
                <w:sz w:val="20"/>
              </w:rPr>
              <w:t>Reporting &amp; Stewardship</w:t>
            </w:r>
          </w:p>
        </w:tc>
      </w:tr>
    </w:tbl>
    <w:p/>
    <w:p>
      <w:pPr>
        <w:pStyle w:val="Heading3"/>
      </w:pPr>
      <w:r>
        <w:t>Evaluation and Performance Metrics</w:t>
      </w:r>
    </w:p>
    <w:tbl>
      <w:tblPr>
        <w:tblStyle w:val="LightGrid-Accent1"/>
        <w:tblW w:type="auto" w:w="0"/>
        <w:tblLook w:firstColumn="1" w:firstRow="1" w:lastColumn="0" w:lastRow="0" w:noHBand="0" w:noVBand="1" w:val="04A0"/>
      </w:tblPr>
      <w:tblGrid>
        <w:gridCol w:w="4320"/>
        <w:gridCol w:w="4320"/>
      </w:tblGrid>
      <w:tr>
        <w:tc>
          <w:tcPr>
            <w:tcW w:type="dxa" w:w="4320"/>
            <w:shd w:fill="1F4E5F"/>
          </w:tcPr>
          <w:p>
            <w:r>
              <w:rPr>
                <w:b/>
                <w:color w:val="FFFFFF"/>
                <w:sz w:val="20"/>
              </w:rPr>
            </w:r>
            <w:r>
              <w:rPr>
                <w:b/>
                <w:color w:val="FFFFFF"/>
                <w:sz w:val="20"/>
              </w:rPr>
              <w:t>Performance Measure</w:t>
            </w:r>
          </w:p>
        </w:tc>
        <w:tc>
          <w:tcPr>
            <w:tcW w:type="dxa" w:w="4320"/>
            <w:shd w:fill="1F4E5F"/>
          </w:tcPr>
          <w:p>
            <w:r>
              <w:rPr>
                <w:b/>
                <w:color w:val="FFFFFF"/>
                <w:sz w:val="20"/>
              </w:rPr>
            </w:r>
            <w:r>
              <w:rPr>
                <w:b/>
                <w:color w:val="FFFFFF"/>
                <w:sz w:val="20"/>
              </w:rPr>
              <w:t>Target</w:t>
            </w:r>
          </w:p>
        </w:tc>
      </w:tr>
      <w:tr>
        <w:tc>
          <w:tcPr>
            <w:tcW w:type="dxa" w:w="4320"/>
          </w:tcPr>
          <w:p>
            <w:r>
              <w:rPr>
                <w:sz w:val="20"/>
              </w:rPr>
            </w:r>
            <w:r>
              <w:rPr>
                <w:sz w:val="20"/>
              </w:rPr>
              <w:t>Youth attending the matinee and both workshops</w:t>
            </w:r>
          </w:p>
        </w:tc>
        <w:tc>
          <w:tcPr>
            <w:tcW w:type="dxa" w:w="4320"/>
          </w:tcPr>
          <w:p>
            <w:r>
              <w:rPr>
                <w:sz w:val="20"/>
              </w:rPr>
            </w:r>
            <w:r>
              <w:rPr>
                <w:sz w:val="20"/>
              </w:rPr>
              <w:t>30 (100% of the enrolled cohort)</w:t>
            </w:r>
          </w:p>
        </w:tc>
      </w:tr>
      <w:tr>
        <w:tc>
          <w:tcPr>
            <w:tcW w:type="dxa" w:w="4320"/>
          </w:tcPr>
          <w:p>
            <w:r>
              <w:rPr>
                <w:sz w:val="20"/>
              </w:rPr>
            </w:r>
            <w:r>
              <w:rPr>
                <w:sz w:val="20"/>
              </w:rPr>
              <w:t>Youth able to connect the production's themes to a personal or SEL discussion topic (post-trip survey)</w:t>
            </w:r>
          </w:p>
        </w:tc>
        <w:tc>
          <w:tcPr>
            <w:tcW w:type="dxa" w:w="4320"/>
          </w:tcPr>
          <w:p>
            <w:r>
              <w:rPr>
                <w:sz w:val="20"/>
              </w:rPr>
            </w:r>
            <w:r>
              <w:rPr>
                <w:sz w:val="20"/>
              </w:rPr>
              <w:t>75%</w:t>
            </w:r>
          </w:p>
        </w:tc>
      </w:tr>
      <w:tr>
        <w:tc>
          <w:tcPr>
            <w:tcW w:type="dxa" w:w="4320"/>
          </w:tcPr>
          <w:p>
            <w:r>
              <w:rPr>
                <w:sz w:val="20"/>
              </w:rPr>
            </w:r>
            <w:r>
              <w:rPr>
                <w:sz w:val="20"/>
              </w:rPr>
              <w:t>Youth Services Advocates completing the professional development session</w:t>
            </w:r>
          </w:p>
        </w:tc>
        <w:tc>
          <w:tcPr>
            <w:tcW w:type="dxa" w:w="4320"/>
          </w:tcPr>
          <w:p>
            <w:r>
              <w:rPr>
                <w:sz w:val="20"/>
              </w:rPr>
            </w:r>
            <w:r>
              <w:rPr>
                <w:sz w:val="20"/>
              </w:rPr>
              <w:t>100% of assigned staff</w:t>
            </w:r>
          </w:p>
        </w:tc>
      </w:tr>
      <w:tr>
        <w:tc>
          <w:tcPr>
            <w:tcW w:type="dxa" w:w="4320"/>
          </w:tcPr>
          <w:p>
            <w:r>
              <w:rPr>
                <w:sz w:val="20"/>
              </w:rPr>
            </w:r>
            <w:r>
              <w:rPr>
                <w:sz w:val="20"/>
              </w:rPr>
              <w:t>Reporting Frequency</w:t>
            </w:r>
          </w:p>
        </w:tc>
        <w:tc>
          <w:tcPr>
            <w:tcW w:type="dxa" w:w="4320"/>
          </w:tcPr>
          <w:p>
            <w:r>
              <w:rPr>
                <w:sz w:val="20"/>
              </w:rPr>
            </w:r>
            <w:r>
              <w:rPr>
                <w:sz w:val="20"/>
              </w:rPr>
              <w:t>Final Report only, due Friday, October 15, 2027 — confirmed from RFA; Interim Report only required for awards over $12,500, which does not apply to our $5,500 ask</w:t>
            </w:r>
          </w:p>
        </w:tc>
      </w:tr>
    </w:tbl>
    <w:p/>
    <w:p>
      <w:pPr>
        <w:pStyle w:val="Heading2"/>
      </w:pPr>
      <w:r>
        <w:t>BUDGET DETAIL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1F4E5F"/>
          </w:tcPr>
          <w:p>
            <w:r>
              <w:rPr>
                <w:b/>
                <w:color w:val="FFFFFF"/>
                <w:sz w:val="20"/>
              </w:rPr>
            </w:r>
            <w:r>
              <w:rPr>
                <w:b/>
                <w:color w:val="FFFFFF"/>
                <w:sz w:val="20"/>
              </w:rPr>
              <w:t>Line Item</w:t>
            </w:r>
          </w:p>
        </w:tc>
        <w:tc>
          <w:tcPr>
            <w:tcW w:type="dxa" w:w="2160"/>
            <w:shd w:fill="1F4E5F"/>
          </w:tcPr>
          <w:p>
            <w:r>
              <w:rPr>
                <w:b/>
                <w:color w:val="FFFFFF"/>
                <w:sz w:val="20"/>
              </w:rPr>
            </w:r>
            <w:r>
              <w:rPr>
                <w:b/>
                <w:color w:val="FFFFFF"/>
                <w:sz w:val="20"/>
              </w:rPr>
              <w:t>Basis / Calculation</w:t>
            </w:r>
          </w:p>
        </w:tc>
        <w:tc>
          <w:tcPr>
            <w:tcW w:type="dxa" w:w="2160"/>
            <w:shd w:fill="1F4E5F"/>
          </w:tcPr>
          <w:p>
            <w:r>
              <w:rPr>
                <w:b/>
                <w:color w:val="FFFFFF"/>
                <w:sz w:val="20"/>
              </w:rPr>
            </w:r>
            <w:r>
              <w:rPr>
                <w:b/>
                <w:color w:val="FFFFFF"/>
                <w:sz w:val="20"/>
              </w:rPr>
              <w:t>Grant $</w:t>
            </w:r>
          </w:p>
        </w:tc>
        <w:tc>
          <w:tcPr>
            <w:tcW w:type="dxa" w:w="2160"/>
            <w:shd w:fill="1F4E5F"/>
          </w:tcPr>
          <w:p>
            <w:r>
              <w:rPr>
                <w:b/>
                <w:color w:val="FFFFFF"/>
                <w:sz w:val="20"/>
              </w:rPr>
            </w:r>
            <w:r>
              <w:rPr>
                <w:b/>
                <w:color w:val="FFFFFF"/>
                <w:sz w:val="20"/>
              </w:rPr>
              <w:t>Match $</w:t>
            </w:r>
          </w:p>
        </w:tc>
      </w:tr>
      <w:tr>
        <w:tc>
          <w:tcPr>
            <w:tcW w:type="dxa" w:w="2160"/>
          </w:tcPr>
          <w:p>
            <w:r>
              <w:rPr>
                <w:sz w:val="20"/>
              </w:rPr>
            </w:r>
            <w:r>
              <w:rPr>
                <w:sz w:val="20"/>
              </w:rPr>
              <w:t>Tickets</w:t>
            </w:r>
          </w:p>
        </w:tc>
        <w:tc>
          <w:tcPr>
            <w:tcW w:type="dxa" w:w="2160"/>
          </w:tcPr>
          <w:p>
            <w:r>
              <w:rPr>
                <w:sz w:val="20"/>
              </w:rPr>
            </w:r>
            <w:r>
              <w:rPr>
                <w:sz w:val="20"/>
              </w:rPr>
              <w:t>37 tickets (30 students + ~7 chaperones/staff) at an estimated $30/ticket Group Sales rate (list price $49, group discount up to 40-50% off; formal quote not yet obtained)</w:t>
            </w:r>
          </w:p>
        </w:tc>
        <w:tc>
          <w:tcPr>
            <w:tcW w:type="dxa" w:w="2160"/>
          </w:tcPr>
          <w:p>
            <w:r>
              <w:rPr>
                <w:sz w:val="20"/>
              </w:rPr>
            </w:r>
            <w:r>
              <w:rPr>
                <w:sz w:val="20"/>
              </w:rPr>
              <w:t>$1,100</w:t>
            </w:r>
          </w:p>
        </w:tc>
        <w:tc>
          <w:tcPr>
            <w:tcW w:type="dxa" w:w="2160"/>
          </w:tcPr>
          <w:p>
            <w:r>
              <w:rPr>
                <w:sz w:val="20"/>
              </w:rPr>
            </w:r>
            <w:r>
              <w:rPr>
                <w:sz w:val="20"/>
              </w:rPr>
              <w:t>—</w:t>
            </w:r>
          </w:p>
        </w:tc>
      </w:tr>
      <w:tr>
        <w:tc>
          <w:tcPr>
            <w:tcW w:type="dxa" w:w="2160"/>
          </w:tcPr>
          <w:p>
            <w:r>
              <w:rPr>
                <w:sz w:val="20"/>
              </w:rPr>
            </w:r>
            <w:r>
              <w:rPr>
                <w:sz w:val="20"/>
              </w:rPr>
              <w:t>Arena Stage "Interactive" add-on package</w:t>
            </w:r>
          </w:p>
        </w:tc>
        <w:tc>
          <w:tcPr>
            <w:tcW w:type="dxa" w:w="2160"/>
          </w:tcPr>
          <w:p>
            <w:r>
              <w:rPr>
                <w:sz w:val="20"/>
              </w:rPr>
            </w:r>
            <w:r>
              <w:rPr>
                <w:sz w:val="20"/>
              </w:rPr>
              <w:t>$15/student x 30 students — workshop/backstage tour, pre-show program, printed Learning Guides</w:t>
            </w:r>
          </w:p>
        </w:tc>
        <w:tc>
          <w:tcPr>
            <w:tcW w:type="dxa" w:w="2160"/>
          </w:tcPr>
          <w:p>
            <w:r>
              <w:rPr>
                <w:sz w:val="20"/>
              </w:rPr>
            </w:r>
            <w:r>
              <w:rPr>
                <w:sz w:val="20"/>
              </w:rPr>
              <w:t>$450</w:t>
            </w:r>
          </w:p>
        </w:tc>
        <w:tc>
          <w:tcPr>
            <w:tcW w:type="dxa" w:w="2160"/>
          </w:tcPr>
          <w:p>
            <w:r>
              <w:rPr>
                <w:sz w:val="20"/>
              </w:rPr>
            </w:r>
            <w:r>
              <w:rPr>
                <w:sz w:val="20"/>
              </w:rPr>
              <w:t>—</w:t>
            </w:r>
          </w:p>
        </w:tc>
      </w:tr>
      <w:tr>
        <w:tc>
          <w:tcPr>
            <w:tcW w:type="dxa" w:w="2160"/>
          </w:tcPr>
          <w:p>
            <w:r>
              <w:rPr>
                <w:sz w:val="20"/>
              </w:rPr>
            </w:r>
            <w:r>
              <w:rPr>
                <w:sz w:val="20"/>
              </w:rPr>
              <w:t>Transportation</w:t>
            </w:r>
          </w:p>
        </w:tc>
        <w:tc>
          <w:tcPr>
            <w:tcW w:type="dxa" w:w="2160"/>
          </w:tcPr>
          <w:p>
            <w:r>
              <w:rPr>
                <w:sz w:val="20"/>
              </w:rPr>
            </w:r>
            <w:r>
              <w:rPr>
                <w:sz w:val="20"/>
              </w:rPr>
              <w:t>Round-trip van/bus rental for 30 youth plus chaperones</w:t>
            </w:r>
          </w:p>
        </w:tc>
        <w:tc>
          <w:tcPr>
            <w:tcW w:type="dxa" w:w="2160"/>
          </w:tcPr>
          <w:p>
            <w:r>
              <w:rPr>
                <w:sz w:val="20"/>
              </w:rPr>
            </w:r>
            <w:r>
              <w:rPr>
                <w:sz w:val="20"/>
              </w:rPr>
              <w:t>$1,500</w:t>
            </w:r>
          </w:p>
        </w:tc>
        <w:tc>
          <w:tcPr>
            <w:tcW w:type="dxa" w:w="2160"/>
          </w:tcPr>
          <w:p>
            <w:r>
              <w:rPr>
                <w:sz w:val="20"/>
              </w:rPr>
            </w:r>
            <w:r>
              <w:rPr>
                <w:sz w:val="20"/>
              </w:rPr>
              <w:t>—</w:t>
            </w:r>
          </w:p>
        </w:tc>
      </w:tr>
      <w:tr>
        <w:tc>
          <w:tcPr>
            <w:tcW w:type="dxa" w:w="2160"/>
          </w:tcPr>
          <w:p>
            <w:r>
              <w:rPr>
                <w:sz w:val="20"/>
              </w:rPr>
            </w:r>
            <w:r>
              <w:rPr>
                <w:sz w:val="20"/>
              </w:rPr>
              <w:t>Pre/post-trip SEL workshop materials (GOODLearningHub-led)</w:t>
            </w:r>
          </w:p>
        </w:tc>
        <w:tc>
          <w:tcPr>
            <w:tcW w:type="dxa" w:w="2160"/>
          </w:tcPr>
          <w:p>
            <w:r>
              <w:rPr>
                <w:sz w:val="20"/>
              </w:rPr>
            </w:r>
            <w:r>
              <w:rPr>
                <w:sz w:val="20"/>
              </w:rPr>
              <w:t>Discussion guides, activity supplies</w:t>
            </w:r>
          </w:p>
        </w:tc>
        <w:tc>
          <w:tcPr>
            <w:tcW w:type="dxa" w:w="2160"/>
          </w:tcPr>
          <w:p>
            <w:r>
              <w:rPr>
                <w:sz w:val="20"/>
              </w:rPr>
            </w:r>
            <w:r>
              <w:rPr>
                <w:sz w:val="20"/>
              </w:rPr>
              <w:t>$500</w:t>
            </w:r>
          </w:p>
        </w:tc>
        <w:tc>
          <w:tcPr>
            <w:tcW w:type="dxa" w:w="2160"/>
          </w:tcPr>
          <w:p>
            <w:r>
              <w:rPr>
                <w:sz w:val="20"/>
              </w:rPr>
            </w:r>
            <w:r>
              <w:rPr>
                <w:sz w:val="20"/>
              </w:rPr>
              <w:t>—</w:t>
            </w:r>
          </w:p>
        </w:tc>
      </w:tr>
      <w:tr>
        <w:tc>
          <w:tcPr>
            <w:tcW w:type="dxa" w:w="2160"/>
          </w:tcPr>
          <w:p>
            <w:r>
              <w:rPr>
                <w:sz w:val="20"/>
              </w:rPr>
            </w:r>
            <w:r>
              <w:rPr>
                <w:sz w:val="20"/>
              </w:rPr>
              <w:t>Staff planning and coordination time</w:t>
            </w:r>
          </w:p>
        </w:tc>
        <w:tc>
          <w:tcPr>
            <w:tcW w:type="dxa" w:w="2160"/>
          </w:tcPr>
          <w:p>
            <w:r>
              <w:rPr>
                <w:sz w:val="20"/>
              </w:rPr>
            </w:r>
            <w:r>
              <w:rPr>
                <w:sz w:val="20"/>
              </w:rPr>
              <w:t>Phileke Holland, partial time, trip planning and logistics</w:t>
            </w:r>
          </w:p>
        </w:tc>
        <w:tc>
          <w:tcPr>
            <w:tcW w:type="dxa" w:w="2160"/>
          </w:tcPr>
          <w:p>
            <w:r>
              <w:rPr>
                <w:sz w:val="20"/>
              </w:rPr>
            </w:r>
            <w:r>
              <w:rPr>
                <w:sz w:val="20"/>
              </w:rPr>
              <w:t>$1,500</w:t>
            </w:r>
          </w:p>
        </w:tc>
        <w:tc>
          <w:tcPr>
            <w:tcW w:type="dxa" w:w="2160"/>
          </w:tcPr>
          <w:p>
            <w:r>
              <w:rPr>
                <w:sz w:val="20"/>
              </w:rPr>
            </w:r>
            <w:r>
              <w:rPr>
                <w:sz w:val="20"/>
              </w:rPr>
              <w:t>—</w:t>
            </w:r>
          </w:p>
        </w:tc>
      </w:tr>
      <w:tr>
        <w:tc>
          <w:tcPr>
            <w:tcW w:type="dxa" w:w="2160"/>
          </w:tcPr>
          <w:p>
            <w:r>
              <w:rPr>
                <w:sz w:val="20"/>
              </w:rPr>
            </w:r>
            <w:r>
              <w:rPr>
                <w:sz w:val="20"/>
              </w:rPr>
              <w:t>Contingency (printing, incidentals)</w:t>
            </w:r>
          </w:p>
        </w:tc>
        <w:tc>
          <w:tcPr>
            <w:tcW w:type="dxa" w:w="2160"/>
          </w:tcPr>
          <w:p>
            <w:r>
              <w:rPr>
                <w:sz w:val="20"/>
              </w:rPr>
            </w:r>
          </w:p>
        </w:tc>
        <w:tc>
          <w:tcPr>
            <w:tcW w:type="dxa" w:w="2160"/>
          </w:tcPr>
          <w:p>
            <w:r>
              <w:rPr>
                <w:sz w:val="20"/>
              </w:rPr>
            </w:r>
            <w:r>
              <w:rPr>
                <w:sz w:val="20"/>
              </w:rPr>
              <w:t>$450</w:t>
            </w:r>
          </w:p>
        </w:tc>
        <w:tc>
          <w:tcPr>
            <w:tcW w:type="dxa" w:w="2160"/>
          </w:tcPr>
          <w:p>
            <w:r>
              <w:rPr>
                <w:sz w:val="20"/>
              </w:rPr>
            </w:r>
            <w:r>
              <w:rPr>
                <w:sz w:val="20"/>
              </w:rPr>
              <w:t>—</w:t>
            </w:r>
          </w:p>
        </w:tc>
      </w:tr>
      <w:tr>
        <w:tc>
          <w:tcPr>
            <w:tcW w:type="dxa" w:w="2160"/>
          </w:tcPr>
          <w:p>
            <w:r>
              <w:rPr>
                <w:sz w:val="20"/>
              </w:rPr>
            </w:r>
            <w:r>
              <w:rPr>
                <w:sz w:val="20"/>
              </w:rPr>
              <w:t>TOTAL</w:t>
            </w:r>
          </w:p>
        </w:tc>
        <w:tc>
          <w:tcPr>
            <w:tcW w:type="dxa" w:w="2160"/>
          </w:tcPr>
          <w:p>
            <w:r>
              <w:rPr>
                <w:sz w:val="20"/>
              </w:rPr>
            </w:r>
          </w:p>
        </w:tc>
        <w:tc>
          <w:tcPr>
            <w:tcW w:type="dxa" w:w="2160"/>
          </w:tcPr>
          <w:p>
            <w:r>
              <w:rPr>
                <w:sz w:val="20"/>
              </w:rPr>
            </w:r>
            <w:r>
              <w:rPr>
                <w:sz w:val="20"/>
              </w:rPr>
              <w:t>$5,500</w:t>
            </w:r>
          </w:p>
        </w:tc>
        <w:tc>
          <w:tcPr>
            <w:tcW w:type="dxa" w:w="2160"/>
          </w:tcPr>
          <w:p>
            <w:r>
              <w:rPr>
                <w:sz w:val="20"/>
              </w:rPr>
            </w:r>
            <w:r>
              <w:rPr>
                <w:sz w:val="20"/>
              </w:rPr>
              <w:t>—</w:t>
            </w:r>
          </w:p>
        </w:tc>
      </w:tr>
    </w:tbl>
    <w:p/>
    <w:p>
      <w:r>
        <w:t>CORRECTED: the ticket line previously assumed the $4/ticket D.C. Ticket Partnership rate. That program is confirmed restricted to D.C. public/charter schools applying directly, is not open to nonprofit afterschool programs, and its FY27 application window is not yet open. The $30/ticket figure above is a mid-range estimate (list price $49, with Arena Stage advertising group discounts of up to 40-50%) — get a formal written quote from Arena Stage Group Sales (202-488-4380 / groups@arenastage.org) before finalizing this figure. Confirmed cap: the live FY27 FTE program page (dcarts.dc.gov/grants/field-trip-experiences) lists the maximum organization award as up to $30,000 — this $5,500 ask has significant headroom under that cap and is not constrained by it.</w:t>
      </w:r>
    </w:p>
    <w:p>
      <w:r>
        <w:t>COST CAP COMPLIANCE (per RFA Section IV.H, checked against the budget above):</w:t>
      </w:r>
    </w:p>
    <w:p>
      <w:pPr>
        <w:pStyle w:val="ListBullet"/>
      </w:pPr>
      <w:r>
        <w:t>Staff salaries may not exceed 35% of the grant request. Our staff planning/coordination line is $1,500 of $5,500 = 27%. Compliant.</w:t>
      </w:r>
    </w:p>
    <w:p>
      <w:pPr>
        <w:pStyle w:val="ListBullet"/>
      </w:pPr>
      <w:r>
        <w:t>Materials/supplies/equipment may not exceed 25% of the award. Our workshop materials line is $500 of $5,500 = 9%. Compliant.</w:t>
      </w:r>
    </w:p>
    <w:p>
      <w:pPr>
        <w:pStyle w:val="ListBullet"/>
      </w:pPr>
      <w:r>
        <w:t>Unallowable costs include food/beverages, tuition, fundraiser costs, debt reduction, and operational reserve — none of these appear in our budget. Confirmed clean.</w:t>
      </w:r>
    </w:p>
    <w:p>
      <w:pPr>
        <w:pStyle w:val="ListBullet"/>
      </w:pPr>
      <w:r>
        <w:t>Interim Report threshold is $12,500 — our $5,500 ask stays under it, so only a Final Report is required (due Friday, October 15, 2027), consistent with what the draft already assumed.</w:t>
      </w:r>
    </w:p>
    <w:p>
      <w:pPr>
        <w:pStyle w:val="Heading2"/>
      </w:pPr>
      <w:r>
        <w:t>REQUIRED ATTACHMENTS CHECKLIST</w:t>
      </w:r>
    </w:p>
    <w:p>
      <w:r>
        <w:t>REBUILT from the actual FY27 FTE RFA (Section IV.E), which lists 14 mandatory documents — this is a substantially longer list than the prior draft tracked, and several items need real lead time (Board approval, an insurance certificate) that should start now given the July 24 deadline.</w:t>
      </w:r>
    </w:p>
    <w:p>
      <w:pPr>
        <w:pStyle w:val="ListBullet"/>
      </w:pPr>
      <w:r>
        <w:t>[ ] 1. Work Samples — video/audio of the field trip or a comparable experience, no more than 3 years old. NOT YET COMPILED. This is the highest-weighted content item in scoring (feeds directly into the 40-point Arts/Humanities/Arts Education Merit criterion) — needs real attention, not just a placeholder.</w:t>
      </w:r>
    </w:p>
    <w:p>
      <w:pPr>
        <w:pStyle w:val="ListBullet"/>
      </w:pPr>
      <w:r>
        <w:t>[ ] 2. Support Materials — up to 3 items (letters of support, syllabi, lesson plans, etc.). NOT YET COMPILED. A letter of support from a partner school (Amidon-Bowen or Jefferson MS) would also help satisfy the RFA's goal of "authentic connections... in collaboration with appropriate personnel at DCPS/DCPCS," which our narrative doesn't currently address.</w:t>
      </w:r>
    </w:p>
    <w:p>
      <w:pPr>
        <w:pStyle w:val="ListBullet"/>
      </w:pPr>
      <w:r>
        <w:t>[ ] 3. Résumés of Key Personnel — must include role, area of responsibility, AND ward or state of residence. NOT YET COMPILED for Phileke Holland, Stephanie Page-Baxter, or other staff involved.</w:t>
      </w:r>
    </w:p>
    <w:p>
      <w:pPr>
        <w:pStyle w:val="ListBullet"/>
      </w:pPr>
      <w:r>
        <w:t>[ ] 4. Budget Form — CAH's own detailed budget form/template, not just our internal budget table above. NOT YET SOURCED from the grants portal.</w:t>
      </w:r>
    </w:p>
    <w:p>
      <w:pPr>
        <w:pStyle w:val="ListBullet"/>
      </w:pPr>
      <w:r>
        <w:t>[x] 5. Certificate of Clean Hands — on file, but ISSUED 4/23/2026. The RFA requires this be issued within 30 days of the application deadline (i.e., after ~June 24, 2026). The one on file is roughly 3 months old and will almost certainly need to be REISSUED before submission.</w:t>
      </w:r>
    </w:p>
    <w:p>
      <w:pPr>
        <w:pStyle w:val="ListBullet"/>
      </w:pPr>
      <w:r>
        <w:t>[ ] 6. Statement of Certification — date must match the FTE application submission date. NOT YET DONE (can't be done until submission date is set).</w:t>
      </w:r>
    </w:p>
    <w:p>
      <w:pPr>
        <w:pStyle w:val="ListBullet"/>
      </w:pPr>
      <w:r>
        <w:t>[ ] 7. Signed IRS Form W-9 — must be the March 2024 version, dated to match the submission date, and the address must match both the grants portal and DC's Integrated Financial System (DIFS). NOT YET CONFIRMED current.</w:t>
      </w:r>
    </w:p>
    <w:p>
      <w:pPr>
        <w:pStyle w:val="ListBullet"/>
      </w:pPr>
      <w:r>
        <w:t>[ ] 8. Certificate of Liability Insurance (general coverage, with a written waiver of subrogation). STATUS UNKNOWN — need to check with Cole Bradshaw (Finance &amp; Operations) whether GOODProjects has this on file; this can take time to obtain if not.</w:t>
      </w:r>
    </w:p>
    <w:p>
      <w:pPr>
        <w:pStyle w:val="ListBullet"/>
      </w:pPr>
      <w:r>
        <w:t>[ ] 9. Balance Sheet — from the most recently completed fiscal year. NOT YET SOURCED.</w:t>
      </w:r>
    </w:p>
    <w:p>
      <w:pPr>
        <w:pStyle w:val="ListBullet"/>
      </w:pPr>
      <w:r>
        <w:t>[ ] 10. Current Organizational Budget — must be approved by the Board of Directors. NOT YET SOURCED — confirm this exists and is Board-approved, not just staff-drafted.</w:t>
      </w:r>
    </w:p>
    <w:p>
      <w:pPr>
        <w:pStyle w:val="ListBullet"/>
      </w:pPr>
      <w:r>
        <w:t>[x] 11. IRS 501(c)(3) Determination Letter — on file.</w:t>
      </w:r>
    </w:p>
    <w:p>
      <w:pPr>
        <w:pStyle w:val="ListBullet"/>
      </w:pPr>
      <w:r>
        <w:t>[ ] 12. IRS Form 990 — most recently filed. NOT YET SOURCED.</w:t>
      </w:r>
    </w:p>
    <w:p>
      <w:pPr>
        <w:pStyle w:val="ListBullet"/>
      </w:pPr>
      <w:r>
        <w:t>[ ] 13. List of current Board of Directors — RFA requires roles (president, treasurer, etc.), responsibilities, AND home addresses/wards, not just a general affiliations list. Our existing "Board of Directors list with affiliations" likely needs augmenting with ward/address data.</w:t>
      </w:r>
    </w:p>
    <w:p>
      <w:pPr>
        <w:pStyle w:val="ListBullet"/>
      </w:pPr>
      <w:r>
        <w:t>[ ] 14. Profit and Loss Statement — from the most recently completed fiscal quarter. NOT YET SOURCED.</w:t>
      </w:r>
    </w:p>
    <w:p>
      <w:r>
        <w:t>ADDITIONAL REQUIREMENT (Section III.B): a sworn, written statement disclosing whether the applicant has been indicted or convicted of financial misconduct or fraud in the last 3 years. NOT YET DRAFTED — this is a required disclosure, not optional.</w:t>
      </w:r>
    </w:p>
    <w:p>
      <w:pPr>
        <w:pStyle w:val="Heading2"/>
      </w:pPr>
      <w:r>
        <w:t>PRE-SUBMISSION QA GATE</w:t>
      </w:r>
    </w:p>
    <w:p>
      <w:pPr>
        <w:pStyle w:val="ListBullet"/>
      </w:pPr>
      <w:r>
        <w:t>01 [x] All placeholders filled with real, verified figures</w:t>
      </w:r>
    </w:p>
    <w:p>
      <w:pPr>
        <w:pStyle w:val="ListBullet"/>
      </w:pPr>
      <w:r>
        <w:t>02 [x] Funder ask is within the stated cap — live FY27 FTE program page confirms up to $30,000 maximum organization award; our $5,500 ask has significant headroom</w:t>
      </w:r>
    </w:p>
    <w:p>
      <w:pPr>
        <w:pStyle w:val="ListBullet"/>
      </w:pPr>
      <w:r>
        <w:t>03 [x] Budget total matches the headline ask</w:t>
      </w:r>
    </w:p>
    <w:p>
      <w:pPr>
        <w:pStyle w:val="ListBullet"/>
      </w:pPr>
      <w:r>
        <w:t>04 [ ] Field trip logistics not yet confirmed with Stephanie Page-Baxter or Phileke Holland — routing to Neo for concept/budget approval first, then to them for logistics confirmation</w:t>
      </w:r>
    </w:p>
    <w:p>
      <w:pPr>
        <w:pStyle w:val="ListBullet"/>
      </w:pPr>
      <w:r>
        <w:t>04a [ ] Grade-grouping requirement RESOLVED as a rule (must pick ONE band, recommend classifying under Dance) but the actual band + matching enrollment numbers still need Neo's decision — see Target Population note</w:t>
      </w:r>
    </w:p>
    <w:p>
      <w:pPr>
        <w:pStyle w:val="ListBullet"/>
      </w:pPr>
      <w:r>
        <w:t>04b [ ] Exact 2026/27 matinee date/time not yet confirmed with Arena Stage Group Sales — proposed Dec 10, 2026 is a projection, not a booking</w:t>
      </w:r>
    </w:p>
    <w:p>
      <w:pPr>
        <w:pStyle w:val="ListBullet"/>
      </w:pPr>
      <w:r>
        <w:t>04c [ ] Formal Group Sales ticket quote not yet obtained — $30/ticket is an estimate, not a confirmed rate</w:t>
      </w:r>
    </w:p>
    <w:p>
      <w:pPr>
        <w:pStyle w:val="ListBullet"/>
      </w:pPr>
      <w:r>
        <w:t>04d [ ] Business License / DLCP registration status unknown — confirm this isn't a baseline eligibility blocker, not just a missing attachment</w:t>
      </w:r>
    </w:p>
    <w:p>
      <w:pPr>
        <w:pStyle w:val="ListBullet"/>
      </w:pPr>
      <w:r>
        <w:t>04e [ ] GOS overlap check needed — has GOODProjects applied for FY27 CAH General Operating Support? If so, this FTE application must represent new/additional programming</w:t>
      </w:r>
    </w:p>
    <w:p>
      <w:pPr>
        <w:pStyle w:val="ListBullet"/>
      </w:pPr>
      <w:r>
        <w:t>04f [ ] Clean Hands Certificate on file is dated 4/23/2026 — RFA requires issuance within 30 days of the July 24 deadline; will need reissuing</w:t>
      </w:r>
    </w:p>
    <w:p>
      <w:pPr>
        <w:pStyle w:val="ListBullet"/>
      </w:pPr>
      <w:r>
        <w:t>04g [ ] 9 of the 14 required RFA attachments are not yet compiled (Work Samples, Support Materials, Résumés with ward info, CAH Budget Form, Statement of Certification, current W-9, Liability Insurance Certificate, Balance Sheet, Board-approved Org Budget, Form 990, P&amp;L Statement) — see full attachments checklist. This is a substantially larger lift than previously tracked; some items (insurance certificate, Board-approved budget) need real lead time before July 24.</w:t>
      </w:r>
    </w:p>
    <w:p>
      <w:pPr>
        <w:pStyle w:val="ListBullet"/>
      </w:pPr>
      <w:r>
        <w:t>04h [ ] Financial misconduct/fraud disclosure statement not yet drafted — required, not optional</w:t>
      </w:r>
    </w:p>
    <w:p>
      <w:pPr>
        <w:pStyle w:val="ListBullet"/>
      </w:pPr>
      <w:r>
        <w:t>05 [x] No Cara Adams in the staffing section</w:t>
      </w:r>
    </w:p>
    <w:p>
      <w:pPr>
        <w:pStyle w:val="ListBullet"/>
      </w:pPr>
      <w:r>
        <w:t>06 [x] Address reads: 996 Maine Avenue SW, Suite 208, Washington, DC 20024 (add to signature block before submission)</w:t>
      </w:r>
    </w:p>
    <w:p>
      <w:pPr>
        <w:pStyle w:val="ListBullet"/>
      </w:pPr>
      <w:r>
        <w:t>07 [x] Geography confirmed: Ward 6 origin, DC-based destination (Arena Stage, Southwest DC)</w:t>
      </w:r>
    </w:p>
    <w:p>
      <w:pPr>
        <w:pStyle w:val="ListBullet"/>
      </w:pPr>
      <w:r>
        <w:t>08 [x] Executive summary tailored to CAH's Field Trip Experiences priority</w:t>
      </w:r>
    </w:p>
    <w:p>
      <w:pPr>
        <w:pStyle w:val="ListBullet"/>
      </w:pPr>
      <w:r>
        <w:t>09 [x] Proof metrics chosen match the funder's domain</w:t>
      </w:r>
    </w:p>
    <w:p>
      <w:pPr>
        <w:pStyle w:val="ListBullet"/>
      </w:pPr>
      <w:r>
        <w:t>10 [x] Deadline confirmed: 5:00 PM ET, Thursday, July 24, 2026 (live FY27 FTE program page)</w:t>
      </w:r>
    </w:p>
    <w:p>
      <w:pPr>
        <w:pStyle w:val="ListBullet"/>
      </w:pPr>
      <w:r>
        <w:t>11 [ ] Attachments not yet assembled — see expanded 14-item checklist above</w:t>
      </w:r>
    </w:p>
    <w:p>
      <w:pPr>
        <w:pStyle w:val="ListBullet"/>
      </w:pPr>
      <w:r>
        <w:t>12 [ ] Darius Baxter has not yet signed; route through Neo first</w:t>
      </w:r>
    </w:p>
    <w:p>
      <w:pPr>
        <w:pStyle w:val="ListBullet"/>
      </w:pPr>
      <w:r>
        <w:t>13 [x] Humanize pass completed (no em or en dashes, no significance inflation, no vague attributions)</w:t>
      </w:r>
    </w:p>
    <w:p>
      <w:pPr>
        <w:pStyle w:val="ListBullet"/>
      </w:pPr>
      <w:r>
        <w:t>14 [ ] PDF not yet produced</w:t>
      </w:r>
    </w:p>
    <w:p>
      <w:pPr>
        <w:pStyle w:val="ListBullet"/>
      </w:pPr>
      <w:r>
        <w:t>15 [ ] Technical assistance appointment with CAH (Andrea Brown) not yet booked — window closes Friday, July 17, 2026, given the volume of open items above</w:t>
      </w:r>
    </w:p>
    <w:p>
      <w:r>
        <w:br/>
      </w:r>
    </w:p>
    <w:p>
      <w:r>
        <w:t>GOODProjects, Inc. | 996 Maine Avenue SW, Suite 208, Washington, DC 20024 | EIN 81-1491594 | grants@goodprojects.org</w:t>
      </w:r>
    </w:p>
    <w:p>
      <w:r>
        <w:br/>
      </w:r>
    </w:p>
    <w:p>
      <w:r>
        <w:br/>
      </w:r>
    </w:p>
    <w:p>
      <w:pPr>
        <w:pStyle w:val="Heading1"/>
      </w:pPr>
      <w:r>
        <w:t>FIELD TRIP CONCEPT — FOR NEO'S APPROVAL</w:t>
      </w:r>
    </w:p>
    <w:p>
      <w:r>
        <w:t>Purpose of this section: get Neo's go/no-go on the concept and budget above BEFORE Phileke or</w:t>
      </w:r>
    </w:p>
    <w:p>
      <w:r>
        <w:t>Stephanie are brought in to confirm operational logistics. Once approved, this goes to them to</w:t>
      </w:r>
    </w:p>
    <w:p>
      <w:r>
        <w:t>lock the date and confirm delivery.</w:t>
      </w:r>
    </w:p>
    <w:p>
      <w:pPr>
        <w:pStyle w:val="Heading2"/>
      </w:pPr>
      <w:r>
        <w:t>WHAT WE ARE PROPOSING</w:t>
      </w:r>
    </w:p>
    <w:p>
      <w:r>
        <w:t>A weekday matinee field trip for 30 GOODLearningHub youth to see **Step Afrika!'s Magical</w:t>
      </w:r>
    </w:p>
    <w:p>
      <w:r>
        <w:t>Musical Holiday Step Show</w:t>
      </w:r>
      <w:r>
        <w:rPr>
          <w:b/>
        </w:rPr>
        <w:t xml:space="preserve"> at </w:t>
      </w:r>
      <w:r>
        <w:t>Arena Stage** (1101 6th Street SW, Washington, DC), paired with</w:t>
      </w:r>
    </w:p>
    <w:p>
      <w:r>
        <w:t>a pre-trip classroom workshop, an on-site workshop/backstage tour with Arena Stage teaching</w:t>
      </w:r>
    </w:p>
    <w:p>
      <w:r>
        <w:t>artists, and a staff professional development session.</w:t>
      </w:r>
    </w:p>
    <w:p>
      <w:r>
        <w:rPr>
          <w:b/>
        </w:rPr>
        <w:t>Why this show, specifically:</w:t>
      </w:r>
    </w:p>
    <w:p>
      <w:pPr>
        <w:pStyle w:val="ListBullet"/>
      </w:pPr>
      <w:r>
        <w:t>It is Arena Stage's own production, in DC — satisfies CAH's hard requirement that all FTE</w:t>
      </w:r>
    </w:p>
    <w:p>
      <w:r>
        <w:t>programming take place within the District (deviations disqualify the application)</w:t>
      </w:r>
    </w:p>
    <w:p>
      <w:pPr>
        <w:pStyle w:val="ListBullet"/>
      </w:pPr>
      <w:r>
        <w:t>It is a family-friendly holiday production built around African American stepping — fits our</w:t>
      </w:r>
    </w:p>
    <w:p>
      <w:r>
        <w:t>~95% Black/African American youth population and ties naturally to an SEL discussion</w:t>
      </w:r>
    </w:p>
    <w:p>
      <w:pPr>
        <w:pStyle w:val="ListBullet"/>
      </w:pPr>
      <w:r>
        <w:t>It runs December 4–23, 2026, which lands inside GOODLearningHub's existing Fall II session</w:t>
      </w:r>
    </w:p>
    <w:p>
      <w:r>
        <w:t>(Nov 30 – Dec 17, 2026) — no new session or special scheduling required</w:t>
      </w:r>
    </w:p>
    <w:p>
      <w:pPr>
        <w:pStyle w:val="ListBullet"/>
      </w:pPr>
      <w:r>
        <w:t>We checked: none of GOODProjects' existing 2026 field trips (Wolf Trap, AnnMarie Sculpture</w:t>
      </w:r>
    </w:p>
    <w:p>
      <w:r>
        <w:t>Garden, Creative Cauldron, etc.) are DC-based, so none of them could have been used for this</w:t>
      </w:r>
    </w:p>
    <w:p>
      <w:r>
        <w:t>grant. This is a new trip built specifically to meet CAH's DC-only rule.</w:t>
      </w:r>
    </w:p>
    <w:p>
      <w:r>
        <w:rPr>
          <w:b/>
        </w:rPr>
        <w:t>Proposed date: Thursday, December 10, 2026</w:t>
      </w:r>
      <w:r>
        <w:t xml:space="preserve"> (weekday matinee).</w:t>
      </w:r>
    </w:p>
    <w:p>
      <w:r>
        <w:t>Arena Stage hasn't published its 2026/27 matinee calendar yet. This date is a projection based on</w:t>
      </w:r>
    </w:p>
    <w:p>
      <w:r>
        <w:t>last year's run, which held weekday matinees on Thursdays at 12PM (Dec 11 and Dec 18, 2025).</w:t>
      </w:r>
    </w:p>
    <w:p>
      <w:r>
        <w:t>Backup: Thursday, December 17, 2026 — but that's the last day of the Fall II session, so it has</w:t>
      </w:r>
    </w:p>
    <w:p>
      <w:r>
        <w:t>no buffer if anything shifts. Once Neo approves the concept, the next step is calling Arena Stage</w:t>
      </w:r>
    </w:p>
    <w:p>
      <w:r>
        <w:t>Group Sales (202-488-4380 / groups@arenastage.org) to lock the real date.</w:t>
      </w:r>
    </w:p>
    <w:p>
      <w:pPr>
        <w:pStyle w:val="Heading2"/>
      </w:pPr>
      <w:r>
        <w:t>WHO GOES</w:t>
      </w:r>
    </w:p>
    <w:p>
      <w:r>
        <w:t>30 of GOODLearningHub's 73 enrolled students, ages 5–14, from James Creek, Syphax Gardens, and</w:t>
      </w:r>
    </w:p>
    <w:p>
      <w:r>
        <w:t>Greenleaf public housing (Ward 6). Below 200% federal poverty line.</w:t>
      </w:r>
    </w:p>
    <w:p>
      <w:r>
        <w:rPr>
          <w:b/>
        </w:rPr>
        <w:t>Confirmed from the actual RFA text (not a prior-year guess anymore):</w:t>
      </w:r>
      <w:r>
        <w:t xml:space="preserve"> organizations must target</w:t>
      </w:r>
    </w:p>
    <w:p>
      <w:r>
        <w:t>exactly ONE grade grouping, each tied to specific disciplines — K-2 (Dance/Music/Visual Arts), 3-5</w:t>
      </w:r>
    </w:p>
    <w:p>
      <w:r>
        <w:t>(Music/Visual Arts), 6-8 (Dance/Film/Theatre), 9-12 (Film/Theatre). Theatre alone would restrict us</w:t>
      </w:r>
    </w:p>
    <w:p>
      <w:r>
        <w:t>to grades 6-12 only. Since Step Afrika! is officially a dance company, we can classify this trip</w:t>
      </w:r>
    </w:p>
    <w:p>
      <w:r>
        <w:t xml:space="preserve">under </w:t>
      </w:r>
      <w:r>
        <w:rPr>
          <w:b/>
        </w:rPr>
        <w:t>Dance</w:t>
      </w:r>
      <w:r>
        <w:t xml:space="preserve"> instead, which opens up K-2, 3-5, or 6-8. We still need Neo's call on which single</w:t>
      </w:r>
    </w:p>
    <w:p>
      <w:r>
        <w:t>band to pick, and GOODLearningHub's actual grade breakdown (not just ages) to support that choice.</w:t>
      </w:r>
    </w:p>
    <w:p>
      <w:r>
        <w:t>Our current 30-youth, ages-5-14 framing needs to narrow to one band before submission.</w:t>
      </w:r>
    </w:p>
    <w:p>
      <w:pPr>
        <w:pStyle w:val="Heading2"/>
      </w:pPr>
      <w:r>
        <w:t>MONEY</w:t>
      </w:r>
    </w:p>
    <w:p>
      <w:r>
        <w:rPr>
          <w:b/>
        </w:rPr>
        <w:t>Ask: $5,500</w:t>
      </w:r>
      <w:r>
        <w:t xml:space="preserve"> (revised up from an earlier $4,500 draft — see correction below)</w:t>
      </w:r>
    </w:p>
    <w:p>
      <w:r>
        <w:rPr>
          <w:b/>
        </w:rPr>
        <w:t>Confirmed funder cap: up to $30,000</w:t>
      </w:r>
      <w:r>
        <w:t xml:space="preserve"> (live FY27 FTE program page,</w:t>
      </w:r>
    </w:p>
    <w:p>
      <w:r>
        <w:t>dcarts.dc.gov/grants/field-trip-experiences, verified July 14, 2026). We are nowhere near the</w:t>
      </w:r>
    </w:p>
    <w:p>
      <w:r>
        <w:t>cap; it was never the constraint. Deadline confirmed from the same page: 5:00 PM ET, Thursday,</w:t>
      </w:r>
    </w:p>
    <w:p>
      <w:r>
        <w:t>July 24, 2026.</w:t>
      </w:r>
    </w:p>
    <w:tbl>
      <w:tblPr>
        <w:tblStyle w:val="LightGrid-Accent1"/>
        <w:tblW w:type="auto" w:w="0"/>
        <w:tblLook w:firstColumn="1" w:firstRow="1" w:lastColumn="0" w:lastRow="0" w:noHBand="0" w:noVBand="1" w:val="04A0"/>
      </w:tblPr>
      <w:tblGrid>
        <w:gridCol w:w="4320"/>
        <w:gridCol w:w="4320"/>
      </w:tblGrid>
      <w:tr>
        <w:tc>
          <w:tcPr>
            <w:tcW w:type="dxa" w:w="4320"/>
            <w:shd w:fill="1F4E5F"/>
          </w:tcPr>
          <w:p>
            <w:r>
              <w:rPr>
                <w:b/>
                <w:color w:val="FFFFFF"/>
                <w:sz w:val="20"/>
              </w:rPr>
            </w:r>
            <w:r>
              <w:rPr>
                <w:b/>
                <w:color w:val="FFFFFF"/>
                <w:sz w:val="20"/>
              </w:rPr>
              <w:t>Line Item</w:t>
            </w:r>
          </w:p>
        </w:tc>
        <w:tc>
          <w:tcPr>
            <w:tcW w:type="dxa" w:w="4320"/>
            <w:shd w:fill="1F4E5F"/>
          </w:tcPr>
          <w:p>
            <w:r>
              <w:rPr>
                <w:b/>
                <w:color w:val="FFFFFF"/>
                <w:sz w:val="20"/>
              </w:rPr>
            </w:r>
            <w:r>
              <w:rPr>
                <w:b/>
                <w:color w:val="FFFFFF"/>
                <w:sz w:val="20"/>
              </w:rPr>
              <w:t>$</w:t>
            </w:r>
          </w:p>
        </w:tc>
      </w:tr>
      <w:tr>
        <w:tc>
          <w:tcPr>
            <w:tcW w:type="dxa" w:w="4320"/>
          </w:tcPr>
          <w:p>
            <w:r>
              <w:rPr>
                <w:sz w:val="20"/>
              </w:rPr>
            </w:r>
            <w:r>
              <w:rPr>
                <w:sz w:val="20"/>
              </w:rPr>
              <w:t>Tickets — 37 (30 students + ~7 chaperones/staff) at an estimated $30/ticket group rate</w:t>
            </w:r>
          </w:p>
        </w:tc>
        <w:tc>
          <w:tcPr>
            <w:tcW w:type="dxa" w:w="4320"/>
          </w:tcPr>
          <w:p>
            <w:r>
              <w:rPr>
                <w:sz w:val="20"/>
              </w:rPr>
            </w:r>
            <w:r>
              <w:rPr>
                <w:sz w:val="20"/>
              </w:rPr>
              <w:t>$1,100</w:t>
            </w:r>
          </w:p>
        </w:tc>
      </w:tr>
      <w:tr>
        <w:tc>
          <w:tcPr>
            <w:tcW w:type="dxa" w:w="4320"/>
          </w:tcPr>
          <w:p>
            <w:r>
              <w:rPr>
                <w:sz w:val="20"/>
              </w:rPr>
            </w:r>
            <w:r>
              <w:rPr>
                <w:sz w:val="20"/>
              </w:rPr>
              <w:t>Arena Stage "Interactive" add-on (workshop/backstage tour, pre-show program, Learning Guides)</w:t>
            </w:r>
          </w:p>
        </w:tc>
        <w:tc>
          <w:tcPr>
            <w:tcW w:type="dxa" w:w="4320"/>
          </w:tcPr>
          <w:p>
            <w:r>
              <w:rPr>
                <w:sz w:val="20"/>
              </w:rPr>
            </w:r>
            <w:r>
              <w:rPr>
                <w:sz w:val="20"/>
              </w:rPr>
              <w:t>$450</w:t>
            </w:r>
          </w:p>
        </w:tc>
      </w:tr>
      <w:tr>
        <w:tc>
          <w:tcPr>
            <w:tcW w:type="dxa" w:w="4320"/>
          </w:tcPr>
          <w:p>
            <w:r>
              <w:rPr>
                <w:sz w:val="20"/>
              </w:rPr>
            </w:r>
            <w:r>
              <w:rPr>
                <w:sz w:val="20"/>
              </w:rPr>
              <w:t>Transportation (round-trip van/bus)</w:t>
            </w:r>
          </w:p>
        </w:tc>
        <w:tc>
          <w:tcPr>
            <w:tcW w:type="dxa" w:w="4320"/>
          </w:tcPr>
          <w:p>
            <w:r>
              <w:rPr>
                <w:sz w:val="20"/>
              </w:rPr>
            </w:r>
            <w:r>
              <w:rPr>
                <w:sz w:val="20"/>
              </w:rPr>
              <w:t>$1,500</w:t>
            </w:r>
          </w:p>
        </w:tc>
      </w:tr>
      <w:tr>
        <w:tc>
          <w:tcPr>
            <w:tcW w:type="dxa" w:w="4320"/>
          </w:tcPr>
          <w:p>
            <w:r>
              <w:rPr>
                <w:sz w:val="20"/>
              </w:rPr>
            </w:r>
            <w:r>
              <w:rPr>
                <w:sz w:val="20"/>
              </w:rPr>
              <w:t>Pre/post-trip SEL workshop materials (GOODLearningHub-led)</w:t>
            </w:r>
          </w:p>
        </w:tc>
        <w:tc>
          <w:tcPr>
            <w:tcW w:type="dxa" w:w="4320"/>
          </w:tcPr>
          <w:p>
            <w:r>
              <w:rPr>
                <w:sz w:val="20"/>
              </w:rPr>
            </w:r>
            <w:r>
              <w:rPr>
                <w:sz w:val="20"/>
              </w:rPr>
              <w:t>$500</w:t>
            </w:r>
          </w:p>
        </w:tc>
      </w:tr>
      <w:tr>
        <w:tc>
          <w:tcPr>
            <w:tcW w:type="dxa" w:w="4320"/>
          </w:tcPr>
          <w:p>
            <w:r>
              <w:rPr>
                <w:sz w:val="20"/>
              </w:rPr>
            </w:r>
            <w:r>
              <w:rPr>
                <w:sz w:val="20"/>
              </w:rPr>
              <w:t>Staff planning/coordination time (Phileke Holland)</w:t>
            </w:r>
          </w:p>
        </w:tc>
        <w:tc>
          <w:tcPr>
            <w:tcW w:type="dxa" w:w="4320"/>
          </w:tcPr>
          <w:p>
            <w:r>
              <w:rPr>
                <w:sz w:val="20"/>
              </w:rPr>
            </w:r>
            <w:r>
              <w:rPr>
                <w:sz w:val="20"/>
              </w:rPr>
              <w:t>$1,500</w:t>
            </w:r>
          </w:p>
        </w:tc>
      </w:tr>
      <w:tr>
        <w:tc>
          <w:tcPr>
            <w:tcW w:type="dxa" w:w="4320"/>
          </w:tcPr>
          <w:p>
            <w:r>
              <w:rPr>
                <w:sz w:val="20"/>
              </w:rPr>
            </w:r>
            <w:r>
              <w:rPr>
                <w:sz w:val="20"/>
              </w:rPr>
              <w:t>Contingency</w:t>
            </w:r>
          </w:p>
        </w:tc>
        <w:tc>
          <w:tcPr>
            <w:tcW w:type="dxa" w:w="4320"/>
          </w:tcPr>
          <w:p>
            <w:r>
              <w:rPr>
                <w:sz w:val="20"/>
              </w:rPr>
            </w:r>
            <w:r>
              <w:rPr>
                <w:sz w:val="20"/>
              </w:rPr>
              <w:t>$450</w:t>
            </w:r>
          </w:p>
        </w:tc>
      </w:tr>
      <w:tr>
        <w:tc>
          <w:tcPr>
            <w:tcW w:type="dxa" w:w="4320"/>
          </w:tcPr>
          <w:p>
            <w:r>
              <w:rPr>
                <w:sz w:val="20"/>
              </w:rPr>
            </w:r>
            <w:r>
              <w:rPr>
                <w:b/>
                <w:sz w:val="20"/>
              </w:rPr>
              <w:t>TOTAL</w:t>
            </w:r>
          </w:p>
        </w:tc>
        <w:tc>
          <w:tcPr>
            <w:tcW w:type="dxa" w:w="4320"/>
          </w:tcPr>
          <w:p>
            <w:r>
              <w:rPr>
                <w:sz w:val="20"/>
              </w:rPr>
            </w:r>
            <w:r>
              <w:rPr>
                <w:b/>
                <w:sz w:val="20"/>
              </w:rPr>
              <w:t>$5,500</w:t>
            </w:r>
          </w:p>
        </w:tc>
      </w:tr>
    </w:tbl>
    <w:p/>
    <w:p>
      <w:r>
        <w:rPr>
          <w:b/>
        </w:rPr>
        <w:t>The correction that matters:</w:t>
      </w:r>
      <w:r>
        <w:t xml:space="preserve"> the original draft priced tickets at $4 each, assuming Arena</w:t>
      </w:r>
    </w:p>
    <w:p>
      <w:r>
        <w:t>Stage's D.C. Ticket Partnership rate. We checked that program directly — it's restricted to D.C.</w:t>
      </w:r>
    </w:p>
    <w:p>
      <w:r>
        <w:t>public/charter schools applying on their own behalf, not open to nonprofit afterschool programs</w:t>
      </w:r>
    </w:p>
    <w:p>
      <w:r>
        <w:t>like GOODLearningHub, and its FY27 application window isn't even open yet. So that $4 rate was</w:t>
      </w:r>
    </w:p>
    <w:p>
      <w:r>
        <w:t>never available to us. The $1,100 ticket line above uses Arena Stage's actual Group Sales pricing</w:t>
      </w:r>
    </w:p>
    <w:p>
      <w:r>
        <w:t>(list price $49/ticket, group discounts advertised up to 40-50% off) — still an estimate pending a</w:t>
      </w:r>
    </w:p>
    <w:p>
      <w:r>
        <w:t>formal quote, not a confirmed rate.</w:t>
      </w:r>
    </w:p>
    <w:p>
      <w:pPr>
        <w:pStyle w:val="Heading2"/>
      </w:pPr>
      <w:r>
        <w:t>WHAT'S CONFIRMED VS. WHAT STILL NEEDS CONFIRMING</w:t>
      </w:r>
    </w:p>
    <w:p>
      <w:r>
        <w:rPr>
          <w:b/>
        </w:rPr>
        <w:t>Confirmed (cross-checked across two independent research passes):</w:t>
      </w:r>
    </w:p>
    <w:p>
      <w:pPr>
        <w:pStyle w:val="ListBullet"/>
      </w:pPr>
      <w:r>
        <w:t>Show and DC eligibility</w:t>
      </w:r>
    </w:p>
    <w:p>
      <w:pPr>
        <w:pStyle w:val="ListBullet"/>
      </w:pPr>
      <w:r>
        <w:t>Session/calendar fit (Fall II)</w:t>
      </w:r>
    </w:p>
    <w:p>
      <w:pPr>
        <w:pStyle w:val="ListBullet"/>
      </w:pPr>
      <w:r>
        <w:t>Up to $30,000 funder cap and July 24, 2026 5PM ET deadline, confirmed from the live program page</w:t>
      </w:r>
    </w:p>
    <w:p>
      <w:pPr>
        <w:pStyle w:val="ListBullet"/>
      </w:pPr>
      <w:r>
        <w:t>D.C. Ticket Partnership is not accessible to us this cycle</w:t>
      </w:r>
    </w:p>
    <w:p>
      <w:pPr>
        <w:pStyle w:val="ListBullet"/>
      </w:pPr>
      <w:r>
        <w:t>Base ticket price ($49) and group discount range (40-50%)</w:t>
      </w:r>
    </w:p>
    <w:p>
      <w:r>
        <w:t>**Still open — needs Neo's sign-off on how to proceed, then confirmation from Arena Stage or</w:t>
      </w:r>
    </w:p>
    <w:p>
      <w:r>
        <w:t>Phileke/Stephanie:**</w:t>
      </w:r>
    </w:p>
    <w:p>
      <w:pPr>
        <w:pStyle w:val="ListNumber"/>
      </w:pPr>
      <w:r>
        <w:t>Exact matinee date/time (projected, not booked)</w:t>
      </w:r>
    </w:p>
    <w:p>
      <w:pPr>
        <w:pStyle w:val="ListNumber"/>
      </w:pPr>
      <w:r>
        <w:t>Formal ticket quote (estimated, not quoted)</w:t>
      </w:r>
    </w:p>
    <w:p>
      <w:pPr>
        <w:pStyle w:val="ListNumber"/>
      </w:pPr>
      <w:r>
        <w:t>Which single grade grouping to target (see above)</w:t>
      </w:r>
    </w:p>
    <w:p>
      <w:pPr>
        <w:pStyle w:val="ListNumber"/>
      </w:pPr>
      <w:r>
        <w:t>Whether this trip is operationally realistic in the FY27 program year — Phileke and Stephanie's</w:t>
      </w:r>
    </w:p>
    <w:p>
      <w:r>
        <w:t>call, after concept approval</w:t>
      </w:r>
    </w:p>
    <w:p>
      <w:pPr>
        <w:pStyle w:val="ListNumber"/>
      </w:pPr>
      <w:r>
        <w:t>Whether GOODProjects' partner schools carry Title I status — no longer relevant to the budget</w:t>
      </w:r>
    </w:p>
    <w:p>
      <w:r>
        <w:t>(see correction above), but may still matter for other parts of the application</w:t>
      </w:r>
    </w:p>
    <w:p>
      <w:pPr>
        <w:pStyle w:val="ListNumber"/>
      </w:pPr>
      <w:r>
        <w:t>Whether GOODProjects' Business License/DLCP registration is actually on file — this showed up</w:t>
      </w:r>
    </w:p>
    <w:p>
      <w:r>
        <w:t>as a missing attachment before, but the RFA lists DLCP registration as a baseline eligibility</w:t>
      </w:r>
    </w:p>
    <w:p>
      <w:r>
        <w:t>requirement, which is a bigger deal than a missing document</w:t>
      </w:r>
    </w:p>
    <w:p>
      <w:pPr>
        <w:pStyle w:val="ListNumber"/>
      </w:pPr>
      <w:r>
        <w:t>Whether GOODProjects applied for CAH's FY27 General Operating Support grant — if so, this</w:t>
      </w:r>
    </w:p>
    <w:p>
      <w:r>
        <w:t>application must represent new/additional programming beyond that scope</w:t>
      </w:r>
    </w:p>
    <w:p>
      <w:pPr>
        <w:pStyle w:val="ListNumber"/>
      </w:pPr>
      <w:r>
        <w:t>9 of the RFA's 14 required attachments are not yet compiled (see full checklist in the grant</w:t>
      </w:r>
    </w:p>
    <w:p>
      <w:r>
        <w:t>draft above) — this is a much bigger lift than originally scoped, and a few items (a liability</w:t>
      </w:r>
    </w:p>
    <w:p>
      <w:r>
        <w:t>insurance certificate, a Board-approved organizational budget) need real lead time before July 24</w:t>
      </w:r>
    </w:p>
    <w:p>
      <w:r>
        <w:rPr>
          <w:b/>
        </w:rPr>
        <w:t>One caution:</w:t>
      </w:r>
      <w:r>
        <w:t xml:space="preserve"> during this research, an AI search tool (Perplexity) also produced three named</w:t>
      </w:r>
    </w:p>
    <w:p>
      <w:r>
        <w:t>Arena Stage staff contacts (with titles and emails) that could not be independently verified</w:t>
      </w:r>
    </w:p>
    <w:p>
      <w:r>
        <w:t>anywhere on Arena Stage's own site. Those names are not used anywhere in this document —</w:t>
      </w:r>
    </w:p>
    <w:p>
      <w:r>
        <w:t>recommend getting any named contact by calling Arena Stage directly rather than trusting either</w:t>
      </w:r>
    </w:p>
    <w:p>
      <w:r>
        <w:t>AI tool's output on that point.</w:t>
      </w:r>
    </w:p>
    <w:p>
      <w:pPr>
        <w:pStyle w:val="Heading2"/>
      </w:pPr>
      <w:r>
        <w:t>THE ASK OF NEO</w:t>
      </w:r>
    </w:p>
    <w:p>
      <w:r>
        <w:t>Approve (or adjust) the concept, date, and $5,500 budget above. Once approved, next steps are:</w:t>
      </w:r>
    </w:p>
    <w:p>
      <w:r>
        <w:t>(1) call Arena Stage to lock the real date and get a formal quote, (2) bring the confirmed details</w:t>
      </w:r>
    </w:p>
    <w:p>
      <w:r>
        <w:t>to Phileke and Stephanie to confirm delivery is realistic, (3) finalize attachments and route to</w:t>
      </w:r>
    </w:p>
    <w:p>
      <w:r>
        <w:t>Darius for signature.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