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GOODProjects</w:t>
      </w:r>
      <w:r>
        <w:t xml:space="preserve"> </w:t>
      </w:r>
      <w:r>
        <w:t xml:space="preserve">Foundation Grant Draft</w:t>
      </w:r>
      <w:r>
        <w:t xml:space="preserve"> </w:t>
      </w:r>
      <w:r>
        <w:t xml:space="preserve">Henry E. Niles Foundation — JUMPSTART (Economic Self-Sufficiency)</w:t>
      </w:r>
    </w:p>
    <w:p>
      <w:pPr>
        <w:pStyle w:val="BodyText"/>
      </w:pPr>
      <w:r>
        <w:t xml:space="preserve">STATUS: Draft for Neo’s go/no-go review. Not yet submitted. The Henry E. Niles Foundation’s own FAQ states it is not currently accepting applications from new organizations, a closed-intake status independent of program fit or geography (see the companion qualification note,</w:t>
      </w:r>
      <w:r>
        <w:t xml:space="preserve"> </w:t>
      </w:r>
      <w:r>
        <w:rPr>
          <w:rStyle w:val="VerbatimChar"/>
        </w:rPr>
        <w:t xml:space="preserve">2026-row200-henry-e-niles-foundation-NO-GO.md</w:t>
      </w:r>
      <w:r>
        <w:t xml:space="preserve">). This draft is written and ready so GOODProjects can submit the moment that status changes, or immediately if Neo learns of an existing contact or exception. Do not submit through the Foundation’s standard channel while the new-organization pause is in effect; confirm current intake status at henryniles.org first.</w:t>
      </w:r>
    </w:p>
    <w:bookmarkStart w:id="20" w:name="funder-opportunity-details"/>
    <w:p>
      <w:pPr>
        <w:pStyle w:val="Heading2"/>
      </w:pPr>
      <w:r>
        <w:t xml:space="preserve">FUNDER &amp; OPPORTUNITY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Funder Name</w:t>
            </w:r>
          </w:p>
        </w:tc>
        <w:tc>
          <w:tcPr/>
          <w:p>
            <w:pPr>
              <w:pStyle w:val="Compact"/>
              <w:jc w:val="left"/>
            </w:pPr>
            <w:r>
              <w:t xml:space="preserve">Henry E. Niles Foundation, Inc.</w:t>
            </w:r>
          </w:p>
        </w:tc>
      </w:tr>
      <w:tr>
        <w:tc>
          <w:tcPr/>
          <w:p>
            <w:pPr>
              <w:pStyle w:val="Compact"/>
              <w:jc w:val="left"/>
            </w:pPr>
            <w:r>
              <w:t xml:space="preserve">Program / Fund</w:t>
            </w:r>
          </w:p>
        </w:tc>
        <w:tc>
          <w:tcPr/>
          <w:p>
            <w:pPr>
              <w:pStyle w:val="Compact"/>
              <w:jc w:val="left"/>
            </w:pPr>
            <w:r>
              <w:t xml:space="preserve">General grantmaking — Economic Self-Sufficiency focus area</w:t>
            </w:r>
          </w:p>
        </w:tc>
      </w:tr>
      <w:tr>
        <w:tc>
          <w:tcPr/>
          <w:p>
            <w:pPr>
              <w:pStyle w:val="Compact"/>
              <w:jc w:val="left"/>
            </w:pPr>
            <w:r>
              <w:t xml:space="preserve">Ask Amount</w:t>
            </w:r>
          </w:p>
        </w:tc>
        <w:tc>
          <w:tcPr/>
          <w:p>
            <w:pPr>
              <w:pStyle w:val="Compact"/>
              <w:jc w:val="left"/>
            </w:pPr>
            <w:r>
              <w:t xml:space="preserve">$22,550 (within the Foundation’s typical $2,500 to $50,000 range)</w:t>
            </w:r>
          </w:p>
        </w:tc>
      </w:tr>
      <w:tr>
        <w:tc>
          <w:tcPr/>
          <w:p>
            <w:pPr>
              <w:pStyle w:val="Compact"/>
              <w:jc w:val="left"/>
            </w:pPr>
            <w:r>
              <w:t xml:space="preserve">Deadline</w:t>
            </w:r>
          </w:p>
        </w:tc>
        <w:tc>
          <w:tcPr/>
          <w:p>
            <w:pPr>
              <w:pStyle w:val="Compact"/>
              <w:jc w:val="left"/>
            </w:pPr>
            <w:r>
              <w:t xml:space="preserve">Rolling review, no fixed deadline; Boards meet 10 times a year</w:t>
            </w:r>
          </w:p>
        </w:tc>
      </w:tr>
      <w:tr>
        <w:tc>
          <w:tcPr/>
          <w:p>
            <w:pPr>
              <w:pStyle w:val="Compact"/>
              <w:jc w:val="left"/>
            </w:pPr>
            <w:r>
              <w:t xml:space="preserve">Submission Portal</w:t>
            </w:r>
          </w:p>
        </w:tc>
        <w:tc>
          <w:tcPr/>
          <w:p>
            <w:pPr>
              <w:pStyle w:val="Compact"/>
              <w:jc w:val="left"/>
            </w:pPr>
            <w:r>
              <w:t xml:space="preserve">henryniles.org/grant-application–report.html (currently paused for new organizations)</w:t>
            </w:r>
          </w:p>
        </w:tc>
      </w:tr>
      <w:tr>
        <w:tc>
          <w:tcPr/>
          <w:p>
            <w:pPr>
              <w:pStyle w:val="Compact"/>
              <w:jc w:val="left"/>
            </w:pPr>
            <w:r>
              <w:t xml:space="preserve">Contact</w:t>
            </w:r>
          </w:p>
        </w:tc>
        <w:tc>
          <w:tcPr/>
          <w:p>
            <w:pPr>
              <w:pStyle w:val="Compact"/>
              <w:jc w:val="left"/>
            </w:pPr>
            <w:r>
              <w:t xml:space="preserve">Not listed; general inquiries route through the Foundation’s website</w:t>
            </w:r>
          </w:p>
        </w:tc>
      </w:tr>
      <w:tr>
        <w:tc>
          <w:tcPr/>
          <w:p>
            <w:pPr>
              <w:pStyle w:val="Compact"/>
              <w:jc w:val="left"/>
            </w:pPr>
            <w:r>
              <w:t xml:space="preserve">GOODProjects Program Anchor</w:t>
            </w:r>
          </w:p>
        </w:tc>
        <w:tc>
          <w:tcPr/>
          <w:p>
            <w:pPr>
              <w:pStyle w:val="Compact"/>
              <w:jc w:val="left"/>
            </w:pPr>
            <w:r>
              <w:t xml:space="preserve">JUMPSTART</w:t>
            </w:r>
          </w:p>
        </w:tc>
      </w:tr>
      <w:tr>
        <w:tc>
          <w:tcPr/>
          <w:p>
            <w:pPr>
              <w:pStyle w:val="Compact"/>
              <w:jc w:val="left"/>
            </w:pPr>
            <w:r>
              <w:t xml:space="preserve">Go/No-Go Confirmed</w:t>
            </w:r>
          </w:p>
        </w:tc>
        <w:tc>
          <w:tcPr/>
          <w:p>
            <w:pPr>
              <w:pStyle w:val="Compact"/>
              <w:jc w:val="left"/>
            </w:pPr>
            <w:r>
              <w:t xml:space="preserve">Not yet — routing to Neo, contingent on the Foundation reopening new-organization applications</w:t>
            </w:r>
          </w:p>
        </w:tc>
      </w:tr>
    </w:tbl>
    <w:bookmarkEnd w:id="20"/>
    <w:bookmarkStart w:id="21" w:name="executive-summary"/>
    <w:p>
      <w:pPr>
        <w:pStyle w:val="Heading2"/>
      </w:pPr>
      <w:r>
        <w:t xml:space="preserve">EXECUTIVE SUMMARY</w:t>
      </w:r>
    </w:p>
    <w:p>
      <w:pPr>
        <w:pStyle w:val="FirstParagraph"/>
      </w:pPr>
      <w:r>
        <w:t xml:space="preserve">The Henry E. Niles Foundation funds Economic Self-Sufficiency work, including job training, entrepreneurship support, mentoring, and micro-credit initiatives. GOODProjects requests $22,550 to fund 10 paid internship placements through JUMPSTART, the workforce pathway that has already produced two Ward 6 entrepreneurs through its Nasdaq Women’s Financial Literacy Program cohort. This grant would extend that same job-training and mentoring model to 10 additional young adults during the 2026-2027 program year.</w:t>
      </w:r>
    </w:p>
    <w:bookmarkEnd w:id="21"/>
    <w:bookmarkStart w:id="22" w:name="organizational-overview"/>
    <w:p>
      <w:pPr>
        <w:pStyle w:val="Heading2"/>
      </w:pPr>
      <w:r>
        <w:t xml:space="preserve">ORGANIZATIONAL OVERVIEW</w:t>
      </w:r>
    </w:p>
    <w:p>
      <w:pPr>
        <w:pStyle w:val="FirstParagraph"/>
      </w:pPr>
      <w:r>
        <w:t xml:space="preserve">GOODProjects is a Washington, DC nonprofit (founded 2016) working to end the cycle of intergenerational poverty through a place-based, two-generation model, pairing children’s education and youth development with the economic mobility, food security, health, and stability of the adults around them, so that progress in one generation reinforces the next. We serve residents of James Creek, Syphax Gardens, and Greenleaf, three public housing communities in Southwest DC’s Ward 6, where the median household income is approximately $14,000.</w:t>
      </w:r>
    </w:p>
    <w:p>
      <w:pPr>
        <w:pStyle w:val="BodyText"/>
      </w:pPr>
      <w:r>
        <w:t xml:space="preserve">GOODProjects operates with a staff of 30 (11 full-time, 19 part-time) and 50 volunteers. The organization has invested more than $8 million in Southwest DC since 2016. Our CEO Darius Baxter (Forbes 30 Under 30, 2023 Washingtonian of the Year) brings deep personal connection to the mission alongside executive leadership experience. Our 2024 audit by Desai Company returned an unmodified opinion, signed September 7, 2025.</w:t>
      </w:r>
    </w:p>
    <w:bookmarkEnd w:id="22"/>
    <w:bookmarkStart w:id="23" w:name="community-need"/>
    <w:p>
      <w:pPr>
        <w:pStyle w:val="Heading2"/>
      </w:pPr>
      <w:r>
        <w:t xml:space="preserve">COMMUNITY NEED</w:t>
      </w:r>
    </w:p>
    <w:p>
      <w:pPr>
        <w:pStyle w:val="FirstParagraph"/>
      </w:pPr>
      <w:r>
        <w:t xml:space="preserve">Southwest DC’s Ward 6 public housing communities, James Creek, Syphax Gardens, and Greenleaf, are among the city’s most resource-constrained neighborhoods. The families GOODProjects serves face overlapping, mutually reinforcing challenges: limited employment pathways, fragile housing, food insecurity, underfunded schools, health disparities, and the compounding trauma of community violence. Addressing any one of these in isolation does not produce lasting change. GOODProjects addresses them together.</w:t>
      </w:r>
    </w:p>
    <w:p>
      <w:pPr>
        <w:pStyle w:val="BodyText"/>
      </w:pPr>
      <w:r>
        <w:t xml:space="preserve">Ward 6 saw a 25% increase in gun-related incidents in 2024, a trend closely tied to the same economic exclusion that leaves young adults without a structured path from school to steady employment. Without paid, supervised work experience, GOODLearningHub alumni risk losing the academic and social-emotional gains built over years of afterschool investment the moment they age out of youth programming.</w:t>
      </w:r>
    </w:p>
    <w:bookmarkEnd w:id="23"/>
    <w:bookmarkStart w:id="28" w:name="project-description"/>
    <w:p>
      <w:pPr>
        <w:pStyle w:val="Heading2"/>
      </w:pPr>
      <w:r>
        <w:t xml:space="preserve">PROJECT DESCRIPTION</w:t>
      </w:r>
    </w:p>
    <w:bookmarkStart w:id="24" w:name="program-anchor"/>
    <w:p>
      <w:pPr>
        <w:pStyle w:val="Heading3"/>
      </w:pPr>
      <w:r>
        <w:t xml:space="preserve">Program Anchor</w:t>
      </w:r>
    </w:p>
    <w:p>
      <w:pPr>
        <w:pStyle w:val="FirstParagraph"/>
      </w:pPr>
      <w:r>
        <w:t xml:space="preserve">JUMPSTART, GOODProjects’ youth workforce development initiative, directly matches the Foundation’s Economic Self-Sufficiency focus area: job training, entrepreneurship support, mentoring, and a proven pathway from training to paid work.</w:t>
      </w:r>
    </w:p>
    <w:bookmarkEnd w:id="24"/>
    <w:bookmarkStart w:id="25" w:name="target-population"/>
    <w:p>
      <w:pPr>
        <w:pStyle w:val="Heading3"/>
      </w:pPr>
      <w:r>
        <w:t xml:space="preserve">Target Population</w:t>
      </w:r>
    </w:p>
    <w:p>
      <w:pPr>
        <w:pStyle w:val="FirstParagraph"/>
      </w:pPr>
      <w:r>
        <w:t xml:space="preserve">GOODProjects serves Black families living in Ward 6 public housing, James Creek, Syphax Gardens, and Greenleaf. JUMPSTART serves GOODLearningHub alumni ages 14 to 24 with an active Family Success Planning family connection, young adults at risk of idling and economic exclusion after aging out of afterschool programming.</w:t>
      </w:r>
    </w:p>
    <w:bookmarkEnd w:id="25"/>
    <w:bookmarkStart w:id="26" w:name="activities-and-approach"/>
    <w:p>
      <w:pPr>
        <w:pStyle w:val="Heading3"/>
      </w:pPr>
      <w:r>
        <w:t xml:space="preserve">Activities and Approach</w:t>
      </w:r>
    </w:p>
    <w:p>
      <w:pPr>
        <w:pStyle w:val="FirstParagraph"/>
      </w:pPr>
      <w:r>
        <w:t xml:space="preserve">JUMPSTART moves participants through four stages: proactive outreach and intake with a dedicated coach, a 40-hour Career Launchpad covering resume building, interviewing, professional communication, financial literacy, and workplace etiquette, a six-week paid internship placement with a GOODZone Business Partner at $15 per hour for 20 hours per week, and a 90-day retention period with a dedicated Placement Coordinator managing the transition to permanent employment. This request funds Stage 3 internship placements for 10 participants.</w:t>
      </w:r>
    </w:p>
    <w:bookmarkEnd w:id="26"/>
    <w:bookmarkStart w:id="27" w:name="timeline"/>
    <w:p>
      <w:pPr>
        <w:pStyle w:val="Heading3"/>
      </w:pPr>
      <w:r>
        <w:t xml:space="preserve">Timeline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Month 1-2</w:t>
            </w:r>
          </w:p>
        </w:tc>
        <w:tc>
          <w:tcPr/>
          <w:p>
            <w:pPr>
              <w:pStyle w:val="Compact"/>
              <w:jc w:val="left"/>
            </w:pPr>
            <w:r>
              <w:t xml:space="preserve">Alumni outreach, intake, and coach assignment for the 10-participant cohort</w:t>
            </w:r>
          </w:p>
        </w:tc>
      </w:tr>
      <w:tr>
        <w:tc>
          <w:tcPr/>
          <w:p>
            <w:pPr>
              <w:pStyle w:val="Compact"/>
              <w:jc w:val="left"/>
            </w:pPr>
            <w:r>
              <w:t xml:space="preserve">Month 3-4</w:t>
            </w:r>
          </w:p>
        </w:tc>
        <w:tc>
          <w:tcPr/>
          <w:p>
            <w:pPr>
              <w:pStyle w:val="Compact"/>
              <w:jc w:val="left"/>
            </w:pPr>
            <w:r>
              <w:t xml:space="preserve">40-hour Career Launchpad training completed</w:t>
            </w:r>
          </w:p>
        </w:tc>
      </w:tr>
      <w:tr>
        <w:tc>
          <w:tcPr/>
          <w:p>
            <w:pPr>
              <w:pStyle w:val="Compact"/>
              <w:jc w:val="left"/>
            </w:pPr>
            <w:r>
              <w:t xml:space="preserve">Month 5-8</w:t>
            </w:r>
          </w:p>
        </w:tc>
        <w:tc>
          <w:tcPr/>
          <w:p>
            <w:pPr>
              <w:pStyle w:val="Compact"/>
              <w:jc w:val="left"/>
            </w:pPr>
            <w:r>
              <w:t xml:space="preserve">Six-week paid internship placements with GOODZone Business Partners</w:t>
            </w:r>
          </w:p>
        </w:tc>
      </w:tr>
      <w:tr>
        <w:tc>
          <w:tcPr/>
          <w:p>
            <w:pPr>
              <w:pStyle w:val="Compact"/>
              <w:jc w:val="left"/>
            </w:pPr>
            <w:r>
              <w:t xml:space="preserve">Month 9-12</w:t>
            </w:r>
          </w:p>
        </w:tc>
        <w:tc>
          <w:tcPr/>
          <w:p>
            <w:pPr>
              <w:pStyle w:val="Compact"/>
              <w:jc w:val="left"/>
            </w:pPr>
            <w:r>
              <w:t xml:space="preserve">90-day retention support and internship-to-permanent-hire transition tracking</w:t>
            </w:r>
          </w:p>
        </w:tc>
      </w:tr>
    </w:tbl>
    <w:bookmarkEnd w:id="27"/>
    <w:bookmarkEnd w:id="28"/>
    <w:bookmarkStart w:id="30" w:name="outcomes-and-evaluation"/>
    <w:p>
      <w:pPr>
        <w:pStyle w:val="Heading2"/>
      </w:pPr>
      <w:r>
        <w:t xml:space="preserve">OUTCOMES AND EVALUATION</w:t>
      </w:r>
    </w:p>
    <w:p>
      <w:pPr>
        <w:pStyle w:val="FirstParagraph"/>
      </w:pPr>
      <w:r>
        <w:t xml:space="preserve">GOODProjects tracks participation and outcomes across all programs using Salesforce CRM and program-specific data tools. For JUMPSTART, key indicators include Career Launchpad completion, internship completion, employment or post-secondary enrollment within 90 days, and internship-to-permanent-hire conversion. Data is reviewed quarterly by program leads and annually in our impact report.</w:t>
      </w:r>
    </w:p>
    <w:bookmarkStart w:id="29" w:name="committed-outcomes-for-this-grant"/>
    <w:p>
      <w:pPr>
        <w:pStyle w:val="Heading3"/>
      </w:pPr>
      <w:r>
        <w:t xml:space="preserve">Committed Outcomes for This Grant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Output</w:t>
            </w:r>
          </w:p>
        </w:tc>
        <w:tc>
          <w:tcPr/>
          <w:p>
            <w:pPr>
              <w:pStyle w:val="Compact"/>
              <w:jc w:val="left"/>
            </w:pPr>
            <w:r>
              <w:t xml:space="preserve">10 JUMPSTART participants enrolled in paid internship placements</w:t>
            </w:r>
          </w:p>
        </w:tc>
      </w:tr>
      <w:tr>
        <w:tc>
          <w:tcPr/>
          <w:p>
            <w:pPr>
              <w:pStyle w:val="Compact"/>
              <w:jc w:val="left"/>
            </w:pPr>
            <w:r>
              <w:t xml:space="preserve">Short-term</w:t>
            </w:r>
          </w:p>
        </w:tc>
        <w:tc>
          <w:tcPr/>
          <w:p>
            <w:pPr>
              <w:pStyle w:val="Compact"/>
              <w:jc w:val="left"/>
            </w:pPr>
            <w:r>
              <w:t xml:space="preserve">90% complete the 40-hour Career Launchpad training</w:t>
            </w:r>
          </w:p>
        </w:tc>
      </w:tr>
      <w:tr>
        <w:tc>
          <w:tcPr/>
          <w:p>
            <w:pPr>
              <w:pStyle w:val="Compact"/>
              <w:jc w:val="left"/>
            </w:pPr>
            <w:r>
              <w:t xml:space="preserve">Medium-term</w:t>
            </w:r>
          </w:p>
        </w:tc>
        <w:tc>
          <w:tcPr/>
          <w:p>
            <w:pPr>
              <w:pStyle w:val="Compact"/>
              <w:jc w:val="left"/>
            </w:pPr>
            <w:r>
              <w:t xml:space="preserve">85% complete the six-week paid internship</w:t>
            </w:r>
          </w:p>
        </w:tc>
      </w:tr>
      <w:tr>
        <w:tc>
          <w:tcPr/>
          <w:p>
            <w:pPr>
              <w:pStyle w:val="Compact"/>
              <w:jc w:val="left"/>
            </w:pPr>
            <w:r>
              <w:t xml:space="preserve">Long-term</w:t>
            </w:r>
          </w:p>
        </w:tc>
        <w:tc>
          <w:tcPr/>
          <w:p>
            <w:pPr>
              <w:pStyle w:val="Compact"/>
              <w:jc w:val="left"/>
            </w:pPr>
            <w:r>
              <w:t xml:space="preserve">40% convert from internship to permanent hire, consistent with JUMPSTART’s documented conversion rate</w:t>
            </w:r>
          </w:p>
        </w:tc>
      </w:tr>
    </w:tbl>
    <w:p>
      <w:pPr>
        <w:pStyle w:val="BodyText"/>
      </w:pPr>
      <w:r>
        <w:t xml:space="preserve">GOODProjects’ JUMPSTART model has already demonstrated the kind of economic self-sufficiency outcome the Foundation prioritizes: in 2025, GOODProjects’ Nasdaq Women’s Financial Literacy Program cohort produced 15 completers, two of whom launched registered businesses in Ward 6.</w:t>
      </w:r>
    </w:p>
    <w:bookmarkEnd w:id="29"/>
    <w:bookmarkEnd w:id="30"/>
    <w:bookmarkStart w:id="31" w:name="equity-statement"/>
    <w:p>
      <w:pPr>
        <w:pStyle w:val="Heading2"/>
      </w:pPr>
      <w:r>
        <w:t xml:space="preserve">EQUITY STATEMENT</w:t>
      </w:r>
    </w:p>
    <w:p>
      <w:pPr>
        <w:pStyle w:val="FirstParagraph"/>
      </w:pPr>
      <w:r>
        <w:t xml:space="preserve">We operate on the principle that economic mobility requires addressing both skills gaps and systemic barriers simultaneously. We practice equity by eliminating barriers rather than asking people to overcome them. Our hiring, programming, and partnerships prioritize those with lived experience of the challenges we address. We actively recruit staff and board members from the communities we serve, recognizing that proximity to the problem creates proximity to the solution. We do not design programs for communities; we design them with communities.</w:t>
      </w:r>
    </w:p>
    <w:bookmarkEnd w:id="31"/>
    <w:bookmarkStart w:id="35" w:name="organizational-capacity"/>
    <w:p>
      <w:pPr>
        <w:pStyle w:val="Heading2"/>
      </w:pPr>
      <w:r>
        <w:t xml:space="preserve">ORGANIZATIONAL CAPACITY</w:t>
      </w:r>
    </w:p>
    <w:bookmarkStart w:id="32" w:name="key-personnel"/>
    <w:p>
      <w:pPr>
        <w:pStyle w:val="Heading3"/>
      </w:pPr>
      <w:r>
        <w:t xml:space="preserve">Key Personnel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Role</w:t>
            </w:r>
          </w:p>
        </w:tc>
      </w:tr>
      <w:tr>
        <w:tc>
          <w:tcPr/>
          <w:p>
            <w:pPr>
              <w:pStyle w:val="Compact"/>
              <w:jc w:val="left"/>
            </w:pPr>
            <w:r>
              <w:t xml:space="preserve">Darius Baxter</w:t>
            </w:r>
          </w:p>
        </w:tc>
        <w:tc>
          <w:tcPr/>
          <w:p>
            <w:pPr>
              <w:pStyle w:val="Compact"/>
              <w:jc w:val="left"/>
            </w:pPr>
            <w:r>
              <w:t xml:space="preserve">Founder &amp; CEO / Authorized Signatory</w:t>
            </w:r>
          </w:p>
        </w:tc>
      </w:tr>
      <w:tr>
        <w:tc>
          <w:tcPr/>
          <w:p>
            <w:pPr>
              <w:pStyle w:val="Compact"/>
              <w:jc w:val="left"/>
            </w:pPr>
            <w:r>
              <w:t xml:space="preserve">Demetrius Baxter</w:t>
            </w:r>
          </w:p>
        </w:tc>
        <w:tc>
          <w:tcPr/>
          <w:p>
            <w:pPr>
              <w:pStyle w:val="Compact"/>
              <w:jc w:val="left"/>
            </w:pPr>
            <w:r>
              <w:t xml:space="preserve">Chief of Staff</w:t>
            </w:r>
          </w:p>
        </w:tc>
      </w:tr>
      <w:tr>
        <w:tc>
          <w:tcPr/>
          <w:p>
            <w:pPr>
              <w:pStyle w:val="Compact"/>
              <w:jc w:val="left"/>
            </w:pPr>
            <w:r>
              <w:t xml:space="preserve">Stephanie Page-Baxter</w:t>
            </w:r>
          </w:p>
        </w:tc>
        <w:tc>
          <w:tcPr/>
          <w:p>
            <w:pPr>
              <w:pStyle w:val="Compact"/>
              <w:jc w:val="left"/>
            </w:pPr>
            <w:r>
              <w:t xml:space="preserve">Director of Youth Programming</w:t>
            </w:r>
          </w:p>
        </w:tc>
      </w:tr>
      <w:tr>
        <w:tc>
          <w:tcPr/>
          <w:p>
            <w:pPr>
              <w:pStyle w:val="Compact"/>
              <w:jc w:val="left"/>
            </w:pPr>
            <w:r>
              <w:t xml:space="preserve">Neo Mangope</w:t>
            </w:r>
          </w:p>
        </w:tc>
        <w:tc>
          <w:tcPr/>
          <w:p>
            <w:pPr>
              <w:pStyle w:val="Compact"/>
              <w:jc w:val="left"/>
            </w:pPr>
            <w:r>
              <w:t xml:space="preserve">Fundraising &amp; Grants Officer</w:t>
            </w:r>
          </w:p>
        </w:tc>
      </w:tr>
      <w:tr>
        <w:tc>
          <w:tcPr/>
          <w:p>
            <w:pPr>
              <w:pStyle w:val="Compact"/>
              <w:jc w:val="left"/>
            </w:pPr>
            <w:r>
              <w:t xml:space="preserve">Marquel Webb</w:t>
            </w:r>
          </w:p>
        </w:tc>
        <w:tc>
          <w:tcPr/>
          <w:p>
            <w:pPr>
              <w:pStyle w:val="Compact"/>
              <w:jc w:val="left"/>
            </w:pPr>
            <w:r>
              <w:t xml:space="preserve">FSP Lead</w:t>
            </w:r>
          </w:p>
        </w:tc>
      </w:tr>
      <w:tr>
        <w:tc>
          <w:tcPr/>
          <w:p>
            <w:pPr>
              <w:pStyle w:val="Compact"/>
              <w:jc w:val="left"/>
            </w:pPr>
            <w:r>
              <w:t xml:space="preserve">Phileke Holland</w:t>
            </w:r>
          </w:p>
        </w:tc>
        <w:tc>
          <w:tcPr/>
          <w:p>
            <w:pPr>
              <w:pStyle w:val="Compact"/>
              <w:jc w:val="left"/>
            </w:pPr>
            <w:r>
              <w:t xml:space="preserve">Afterschool Lead / Youth Program Coordinator</w:t>
            </w:r>
          </w:p>
        </w:tc>
      </w:tr>
      <w:tr>
        <w:tc>
          <w:tcPr/>
          <w:p>
            <w:pPr>
              <w:pStyle w:val="Compact"/>
              <w:jc w:val="left"/>
            </w:pPr>
            <w:r>
              <w:t xml:space="preserve">Cole Bradshaw</w:t>
            </w:r>
          </w:p>
        </w:tc>
        <w:tc>
          <w:tcPr/>
          <w:p>
            <w:pPr>
              <w:pStyle w:val="Compact"/>
              <w:jc w:val="left"/>
            </w:pPr>
            <w:r>
              <w:t xml:space="preserve">Finance &amp; Operations</w:t>
            </w:r>
          </w:p>
        </w:tc>
      </w:tr>
      <w:tr>
        <w:tc>
          <w:tcPr/>
          <w:p>
            <w:pPr>
              <w:pStyle w:val="Compact"/>
              <w:jc w:val="left"/>
            </w:pPr>
            <w:r>
              <w:t xml:space="preserve">Melissa</w:t>
            </w:r>
          </w:p>
        </w:tc>
        <w:tc>
          <w:tcPr/>
          <w:p>
            <w:pPr>
              <w:pStyle w:val="Compact"/>
              <w:jc w:val="left"/>
            </w:pPr>
            <w:r>
              <w:t xml:space="preserve">Reporting &amp; Stewardship</w:t>
            </w:r>
          </w:p>
        </w:tc>
      </w:tr>
    </w:tbl>
    <w:bookmarkEnd w:id="32"/>
    <w:bookmarkStart w:id="33" w:name="partnerships"/>
    <w:p>
      <w:pPr>
        <w:pStyle w:val="Heading3"/>
      </w:pPr>
      <w:r>
        <w:t xml:space="preserve">Partnerships</w:t>
      </w:r>
    </w:p>
    <w:p>
      <w:pPr>
        <w:pStyle w:val="FirstParagraph"/>
      </w:pPr>
      <w:r>
        <w:t xml:space="preserve">GOODProjects’ key implementation partners include Amidon-Bowen Elementary School, DC Department of Employment Services (DOES), DC Department of Parks and Recreation (DPR), Southwest Business Improvement District (SWBID), C3 Wellness (mental health services), CityTutor DC, and DC Central Kitchen. JUMPSTART’s paid internships are hosted by GOODZone Business Partners identified through the SWBID relationship.</w:t>
      </w:r>
    </w:p>
    <w:bookmarkEnd w:id="33"/>
    <w:bookmarkStart w:id="34" w:name="financial-health"/>
    <w:p>
      <w:pPr>
        <w:pStyle w:val="Heading3"/>
      </w:pPr>
      <w:r>
        <w:t xml:space="preserve">Financial Health</w:t>
      </w:r>
    </w:p>
    <w:p>
      <w:pPr>
        <w:pStyle w:val="FirstParagraph"/>
      </w:pPr>
      <w:r>
        <w:t xml:space="preserve">Our FY2024 audit was conducted by Desai Company and returned an unmodified opinion (signed September 7, 2025). EIN: 81-1491594.</w:t>
      </w:r>
    </w:p>
    <w:bookmarkEnd w:id="34"/>
    <w:bookmarkEnd w:id="35"/>
    <w:bookmarkStart w:id="36" w:name="budget-narrative"/>
    <w:p>
      <w:pPr>
        <w:pStyle w:val="Heading2"/>
      </w:pPr>
      <w:r>
        <w:t xml:space="preserve">BUDGET NARRATIVE</w:t>
      </w:r>
    </w:p>
    <w:p>
      <w:pPr>
        <w:pStyle w:val="FirstParagraph"/>
      </w:pPr>
      <w:r>
        <w:t xml:space="preserve">Total request: $22,550 for the period September 1, 2026 through August 31, 2027.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Personnel</w:t>
            </w:r>
          </w:p>
        </w:tc>
        <w:tc>
          <w:tcPr/>
          <w:p>
            <w:pPr>
              <w:pStyle w:val="Compact"/>
              <w:jc w:val="left"/>
            </w:pPr>
            <w:r>
              <w:t xml:space="preserve">$0 (this request funds direct participant costs only; JUMPSTART staff time is covered through existing program funding)</w:t>
            </w:r>
          </w:p>
        </w:tc>
      </w:tr>
      <w:tr>
        <w:tc>
          <w:tcPr/>
          <w:p>
            <w:pPr>
              <w:pStyle w:val="Compact"/>
              <w:jc w:val="left"/>
            </w:pPr>
            <w:r>
              <w:t xml:space="preserve">Fringe</w:t>
            </w:r>
          </w:p>
        </w:tc>
        <w:tc>
          <w:tcPr/>
          <w:p>
            <w:pPr>
              <w:pStyle w:val="Compact"/>
              <w:jc w:val="left"/>
            </w:pPr>
            <w:r>
              <w:t xml:space="preserve">Not applicable to this request</w:t>
            </w:r>
          </w:p>
        </w:tc>
      </w:tr>
      <w:tr>
        <w:tc>
          <w:tcPr/>
          <w:p>
            <w:pPr>
              <w:pStyle w:val="Compact"/>
              <w:jc w:val="left"/>
            </w:pPr>
            <w:r>
              <w:t xml:space="preserve">Program Supplies</w:t>
            </w:r>
          </w:p>
        </w:tc>
        <w:tc>
          <w:tcPr/>
          <w:p>
            <w:pPr>
              <w:pStyle w:val="Compact"/>
              <w:jc w:val="left"/>
            </w:pPr>
            <w:r>
              <w:t xml:space="preserve">$500 (Career Launchpad training materials, $50 per participant x 10)</w:t>
            </w:r>
          </w:p>
        </w:tc>
      </w:tr>
      <w:tr>
        <w:tc>
          <w:tcPr/>
          <w:p>
            <w:pPr>
              <w:pStyle w:val="Compact"/>
              <w:jc w:val="left"/>
            </w:pPr>
            <w:r>
              <w:t xml:space="preserve">Participant Costs</w:t>
            </w:r>
          </w:p>
        </w:tc>
        <w:tc>
          <w:tcPr/>
          <w:p>
            <w:pPr>
              <w:pStyle w:val="Compact"/>
              <w:jc w:val="left"/>
            </w:pPr>
            <w:r>
              <w:t xml:space="preserve">$20,000 (paid internship stipends and support, $2,000 per participant x 10: $1,800 stipend, $50 transportation, $150 wellness support per JUMPSTART’s documented per-youth cost)</w:t>
            </w:r>
          </w:p>
        </w:tc>
      </w:tr>
      <w:tr>
        <w:tc>
          <w:tcPr/>
          <w:p>
            <w:pPr>
              <w:pStyle w:val="Compact"/>
              <w:jc w:val="left"/>
            </w:pPr>
            <w:r>
              <w:t xml:space="preserve">Indirect</w:t>
            </w:r>
          </w:p>
        </w:tc>
        <w:tc>
          <w:tcPr/>
          <w:p>
            <w:pPr>
              <w:pStyle w:val="Compact"/>
              <w:jc w:val="left"/>
            </w:pPr>
            <w:r>
              <w:t xml:space="preserve">$2,050 (10% de minimis rate)</w:t>
            </w:r>
          </w:p>
        </w:tc>
      </w:tr>
      <w:tr>
        <w:tc>
          <w:tcPr/>
          <w:p>
            <w:pPr>
              <w:pStyle w:val="Compact"/>
              <w:jc w:val="left"/>
            </w:pPr>
            <w:r>
              <w:t xml:space="preserve">TOTAL</w:t>
            </w:r>
          </w:p>
        </w:tc>
        <w:tc>
          <w:tcPr/>
          <w:p>
            <w:pPr>
              <w:pStyle w:val="Compact"/>
              <w:jc w:val="left"/>
            </w:pPr>
            <w:r>
              <w:t xml:space="preserve">$22,550</w:t>
            </w:r>
          </w:p>
        </w:tc>
      </w:tr>
    </w:tbl>
    <w:p>
      <w:pPr>
        <w:pStyle w:val="BodyText"/>
      </w:pPr>
      <w:r>
        <w:t xml:space="preserve">VERIFY BEFORE SUBMITTING: All budget figures require Cole’s sign-off before submission.</w:t>
      </w:r>
    </w:p>
    <w:bookmarkEnd w:id="36"/>
    <w:bookmarkStart w:id="37" w:name="sustainability"/>
    <w:p>
      <w:pPr>
        <w:pStyle w:val="Heading2"/>
      </w:pPr>
      <w:r>
        <w:t xml:space="preserve">SUSTAINABILITY</w:t>
      </w:r>
    </w:p>
    <w:p>
      <w:pPr>
        <w:pStyle w:val="FirstParagraph"/>
      </w:pPr>
      <w:r>
        <w:t xml:space="preserve">GOODProjects does not depend on single-source funding. Our diversified revenue base includes foundation and trust grants ($985,500 in FY25), DC government grants ($384,403 in FY25), and individual and business contributions ($180,000 in FY25). JUMPSTART is embedded in GOODProjects’ operating model as the culmination of the GOODLearningHub-to-employment pipeline, and will continue beyond this grant period through continued SWBID employer partnerships and DC Department of Employment Services collaboration.</w:t>
      </w:r>
    </w:p>
    <w:bookmarkEnd w:id="37"/>
    <w:bookmarkStart w:id="38" w:name="pre-submission-qa-gate"/>
    <w:p>
      <w:pPr>
        <w:pStyle w:val="Heading2"/>
      </w:pPr>
      <w:r>
        <w:t xml:space="preserve">PRE-SUBMISSION QA GATE</w:t>
      </w:r>
    </w:p>
    <w:p>
      <w:pPr>
        <w:pStyle w:val="FirstParagraph"/>
      </w:pPr>
      <w:r>
        <w:t xml:space="preserve">01 [x] All placeholders filled with real, verified figures</w:t>
      </w:r>
      <w:r>
        <w:t xml:space="preserve"> </w:t>
      </w:r>
      <w:r>
        <w:t xml:space="preserve">02 [x] Funder ask is within the stated cap ($22,550, within the Foundation’s $2,500-$50,000 range)</w:t>
      </w:r>
      <w:r>
        <w:t xml:space="preserve"> </w:t>
      </w:r>
      <w:r>
        <w:t xml:space="preserve">03 [x] Budget total matches the headline ask ($500 + $20,000 + $2,050 = $22,550)</w:t>
      </w:r>
      <w:r>
        <w:t xml:space="preserve"> </w:t>
      </w:r>
      <w:r>
        <w:t xml:space="preserve">04 [ ] Indirect cost allowability not confirmed — confirm with Cole before submission</w:t>
      </w:r>
      <w:r>
        <w:t xml:space="preserve"> </w:t>
      </w:r>
      <w:r>
        <w:t xml:space="preserve">05 [x] No Cara Adams in the staffing section</w:t>
      </w:r>
      <w:r>
        <w:t xml:space="preserve"> </w:t>
      </w:r>
      <w:r>
        <w:t xml:space="preserve">06 [x] Address reads: 996 Maine Avenue SW, Suite 208, Washington, DC 20024</w:t>
      </w:r>
      <w:r>
        <w:t xml:space="preserve"> </w:t>
      </w:r>
      <w:r>
        <w:t xml:space="preserve">07 [x] Geography confirmed: Ward 6, James Creek / Syphax Gardens / Greenleaf</w:t>
      </w:r>
      <w:r>
        <w:t xml:space="preserve"> </w:t>
      </w:r>
      <w:r>
        <w:t xml:space="preserve">08 [x] Executive summary tailored to the Foundation’s Economic Self-Sufficiency focus area</w:t>
      </w:r>
      <w:r>
        <w:t xml:space="preserve"> </w:t>
      </w:r>
      <w:r>
        <w:t xml:space="preserve">09 [x] Proof metrics chosen (JUMPSTART completion, conversion, and Nasdaq cohort entrepreneurship outcomes) match the funder’s stated priority</w:t>
      </w:r>
      <w:r>
        <w:t xml:space="preserve"> </w:t>
      </w:r>
      <w:r>
        <w:t xml:space="preserve">10 [x] All dates valid and inside the project period</w:t>
      </w:r>
      <w:r>
        <w:t xml:space="preserve"> </w:t>
      </w:r>
      <w:r>
        <w:t xml:space="preserve">11 [ ] Attachments not yet assembled — see Open Items below</w:t>
      </w:r>
      <w:r>
        <w:t xml:space="preserve"> </w:t>
      </w:r>
      <w:r>
        <w:t xml:space="preserve">12 [ ] Darius Baxter has not yet signed; route through Neo first</w:t>
      </w:r>
      <w:r>
        <w:t xml:space="preserve"> </w:t>
      </w:r>
      <w:r>
        <w:t xml:space="preserve">13 [x] Humanize pass completed (no em or en dashes, no significance inflation, no vague attributions, no chatbot framing)</w:t>
      </w:r>
      <w:r>
        <w:t xml:space="preserve"> </w:t>
      </w:r>
      <w:r>
        <w:t xml:space="preserve">14 [ ] PDF not yet produced — generate after Neo’s review and any edits</w:t>
      </w:r>
    </w:p>
    <w:p>
      <w:r>
        <w:pict>
          <v:rect style="width:0;height:1.5pt" o:hralign="center" o:hrstd="t" o:hr="t"/>
        </w:pict>
      </w:r>
    </w:p>
    <w:bookmarkEnd w:id="38"/>
    <w:bookmarkStart w:id="39" w:name="open-items-before-this-can-be-submitted"/>
    <w:p>
      <w:pPr>
        <w:pStyle w:val="Heading2"/>
      </w:pPr>
      <w:r>
        <w:t xml:space="preserve">OPEN ITEMS BEFORE THIS CAN BE SUBMITTED</w:t>
      </w:r>
    </w:p>
    <w:p>
      <w:pPr>
        <w:numPr>
          <w:ilvl w:val="0"/>
          <w:numId w:val="1001"/>
        </w:numPr>
        <w:pStyle w:val="Compact"/>
      </w:pPr>
      <w:r>
        <w:rPr>
          <w:bCs/>
          <w:b/>
        </w:rPr>
        <w:t xml:space="preserve">Confirm the Foundation has reopened new-organization applications.</w:t>
      </w:r>
      <w:r>
        <w:t xml:space="preserve"> </w:t>
      </w:r>
      <w:r>
        <w:t xml:space="preserve">This is the primary blocker, independent of everything else in this draft. Check henryniles.org/frequently-asked-questions.html for a status change, or ask Neo whether GOODProjects has any existing Niles contact that would allow submission despite the general pause.</w:t>
      </w:r>
    </w:p>
    <w:p>
      <w:pPr>
        <w:numPr>
          <w:ilvl w:val="0"/>
          <w:numId w:val="1001"/>
        </w:numPr>
        <w:pStyle w:val="Compact"/>
      </w:pPr>
      <w:r>
        <w:rPr>
          <w:bCs/>
          <w:b/>
        </w:rPr>
        <w:t xml:space="preserve">Confirm indirect cost allowability</w:t>
      </w:r>
      <w:r>
        <w:t xml:space="preserve"> </w:t>
      </w:r>
      <w:r>
        <w:t xml:space="preserve">with Cole before submission.</w:t>
      </w:r>
    </w:p>
    <w:p>
      <w:pPr>
        <w:numPr>
          <w:ilvl w:val="0"/>
          <w:numId w:val="1001"/>
        </w:numPr>
        <w:pStyle w:val="Compact"/>
      </w:pPr>
      <w:r>
        <w:rPr>
          <w:bCs/>
          <w:b/>
        </w:rPr>
        <w:t xml:space="preserve">Route to Neo for go/no-go</w:t>
      </w:r>
      <w:r>
        <w:t xml:space="preserve">, per standard workflow, once intake reopens.</w:t>
      </w:r>
    </w:p>
    <w:p>
      <w:pPr>
        <w:numPr>
          <w:ilvl w:val="0"/>
          <w:numId w:val="1001"/>
        </w:numPr>
        <w:pStyle w:val="Compact"/>
      </w:pPr>
      <w:r>
        <w:rPr>
          <w:bCs/>
          <w:b/>
        </w:rPr>
        <w:t xml:space="preserve">Assemble attachments</w:t>
      </w:r>
      <w:r>
        <w:t xml:space="preserve"> </w:t>
      </w:r>
      <w:r>
        <w:t xml:space="preserve">once the application format is confirmed: likely 501(c)(3) determination letter and audited financials, both on file in</w:t>
      </w:r>
      <w:r>
        <w:t xml:space="preserve"> </w:t>
      </w:r>
      <w:r>
        <w:rPr>
          <w:rStyle w:val="VerbatimChar"/>
        </w:rPr>
        <w:t xml:space="preserve">app/compliance/</w:t>
      </w:r>
      <w:r>
        <w:t xml:space="preserve">.</w:t>
      </w:r>
    </w:p>
    <w:p>
      <w:r>
        <w:pict>
          <v:rect style="width:0;height:1.5pt" o:hralign="center" o:hrstd="t" o:hr="t"/>
        </w:pict>
      </w:r>
    </w:p>
    <w:p>
      <w:pPr>
        <w:pStyle w:val="FirstParagraph"/>
      </w:pPr>
      <w:r>
        <w:t xml:space="preserve">GOODProjects, Inc. | 996 Maine Avenue SW, Suite 208, Washington, DC 20024 | EIN 81-1491594 | grants@goodprojects.org</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2026-07-14T17:54:48Z</dcterms:created>
  <dcterms:modified xsi:type="dcterms:W3CDTF">2026-07-14T17:54:48Z</dcterms:modified>
</cp:coreProperties>
</file>

<file path=docProps/custom.xml><?xml version="1.0" encoding="utf-8"?>
<Properties xmlns="http://schemas.openxmlformats.org/officeDocument/2006/custom-properties" xmlns:vt="http://schemas.openxmlformats.org/officeDocument/2006/docPropsVTypes"/>
</file>