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Foundation Grant Draft</w:t>
      </w:r>
      <w:r>
        <w:t xml:space="preserve"> </w:t>
      </w:r>
      <w:r>
        <w:t xml:space="preserve">Carlson Family Foundation — GOODSports and SW Peace Gardens (Vibrant Communities)</w:t>
      </w:r>
    </w:p>
    <w:p>
      <w:pPr>
        <w:pStyle w:val="BodyText"/>
      </w:pPr>
      <w:r>
        <w:t xml:space="preserve">STATUS: Draft for Neo’s go/no-go review. NOT SUBMITTABLE AS WRITTEN. The Carlson Family Foundation funds organizations serving the Twin Cities metro area (Minneapolis and St. Paul) exclusively; GOODProjects operates entirely in Washington, DC. There is no honest basis to claim geographic eligibility, and this draft does not attempt to manufacture one. The Foundation is also not accepting Letters of Inquiry for 2026 funding requests. Both blockers are independent and neither is solved by narrative quality. This draft exists because it was requested, and it is built so the content is ready to redirect toward a funder that actually serves DC, or to revisit if the Foundation ever expands beyond the Twin Cities. See the companion qualification note,</w:t>
      </w:r>
      <w:r>
        <w:t xml:space="preserve"> </w:t>
      </w:r>
      <w:r>
        <w:rPr>
          <w:rStyle w:val="VerbatimChar"/>
        </w:rPr>
        <w:t xml:space="preserve">2026-row201-carlson-family-foundation-NO-GO.md</w:t>
      </w:r>
      <w:r>
        <w:t xml:space="preserve">, for the full eligibility analysis. Recommend against submitting this to Carlson Family Foundation in its current form.</w:t>
      </w:r>
    </w:p>
    <w:bookmarkStart w:id="20" w:name="funder-opportunity-details"/>
    <w:p>
      <w:pPr>
        <w:pStyle w:val="Heading2"/>
      </w:pPr>
      <w:r>
        <w:t xml:space="preserve">FUNDER &amp; OPPORTUNITY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Funder Name</w:t>
            </w:r>
          </w:p>
        </w:tc>
        <w:tc>
          <w:tcPr/>
          <w:p>
            <w:pPr>
              <w:pStyle w:val="Compact"/>
              <w:jc w:val="left"/>
            </w:pPr>
            <w:r>
              <w:t xml:space="preserve">Carlson Family Foundation</w:t>
            </w:r>
          </w:p>
        </w:tc>
      </w:tr>
      <w:tr>
        <w:tc>
          <w:tcPr/>
          <w:p>
            <w:pPr>
              <w:pStyle w:val="Compact"/>
              <w:jc w:val="left"/>
            </w:pPr>
            <w:r>
              <w:t xml:space="preserve">Program / Fund</w:t>
            </w:r>
          </w:p>
        </w:tc>
        <w:tc>
          <w:tcPr/>
          <w:p>
            <w:pPr>
              <w:pStyle w:val="Compact"/>
              <w:jc w:val="left"/>
            </w:pPr>
            <w:r>
              <w:t xml:space="preserve">Vibrant Communities</w:t>
            </w:r>
          </w:p>
        </w:tc>
      </w:tr>
      <w:tr>
        <w:tc>
          <w:tcPr/>
          <w:p>
            <w:pPr>
              <w:pStyle w:val="Compact"/>
              <w:jc w:val="left"/>
            </w:pPr>
            <w:r>
              <w:t xml:space="preserve">Ask Amount</w:t>
            </w:r>
          </w:p>
        </w:tc>
        <w:tc>
          <w:tcPr/>
          <w:p>
            <w:pPr>
              <w:pStyle w:val="Compact"/>
              <w:jc w:val="left"/>
            </w:pPr>
            <w:r>
              <w:t xml:space="preserve">$15,400</w:t>
            </w:r>
          </w:p>
        </w:tc>
      </w:tr>
      <w:tr>
        <w:tc>
          <w:tcPr/>
          <w:p>
            <w:pPr>
              <w:pStyle w:val="Compact"/>
              <w:jc w:val="left"/>
            </w:pPr>
            <w:r>
              <w:t xml:space="preserve">Deadline</w:t>
            </w:r>
          </w:p>
        </w:tc>
        <w:tc>
          <w:tcPr/>
          <w:p>
            <w:pPr>
              <w:pStyle w:val="Compact"/>
              <w:jc w:val="left"/>
            </w:pPr>
            <w:r>
              <w:t xml:space="preserve">Not accepting Letters of Inquiry for 2026</w:t>
            </w:r>
          </w:p>
        </w:tc>
      </w:tr>
      <w:tr>
        <w:tc>
          <w:tcPr/>
          <w:p>
            <w:pPr>
              <w:pStyle w:val="Compact"/>
              <w:jc w:val="left"/>
            </w:pPr>
            <w:r>
              <w:t xml:space="preserve">Submission Portal</w:t>
            </w:r>
          </w:p>
        </w:tc>
        <w:tc>
          <w:tcPr/>
          <w:p>
            <w:pPr>
              <w:pStyle w:val="Compact"/>
              <w:jc w:val="left"/>
            </w:pPr>
            <w:r>
              <w:t xml:space="preserve">carlsonfamilyfoundation.org/grantmaking/new/ (closed for 2026 LOIs)</w:t>
            </w:r>
          </w:p>
        </w:tc>
      </w:tr>
      <w:tr>
        <w:tc>
          <w:tcPr/>
          <w:p>
            <w:pPr>
              <w:pStyle w:val="Compact"/>
              <w:jc w:val="left"/>
            </w:pPr>
            <w:r>
              <w:t xml:space="preserve">Contact</w:t>
            </w:r>
          </w:p>
        </w:tc>
        <w:tc>
          <w:tcPr/>
          <w:p>
            <w:pPr>
              <w:pStyle w:val="Compact"/>
              <w:jc w:val="left"/>
            </w:pPr>
            <w:r>
              <w:t xml:space="preserve">Not applicable while LOIs are closed</w:t>
            </w:r>
          </w:p>
        </w:tc>
      </w:tr>
      <w:tr>
        <w:tc>
          <w:tcPr/>
          <w:p>
            <w:pPr>
              <w:pStyle w:val="Compact"/>
              <w:jc w:val="left"/>
            </w:pPr>
            <w:r>
              <w:t xml:space="preserve">GOODProjects Program Anchor</w:t>
            </w:r>
          </w:p>
        </w:tc>
        <w:tc>
          <w:tcPr/>
          <w:p>
            <w:pPr>
              <w:pStyle w:val="Compact"/>
              <w:jc w:val="left"/>
            </w:pPr>
            <w:r>
              <w:t xml:space="preserve">SW Peace Gardens and GOODSports</w:t>
            </w:r>
          </w:p>
        </w:tc>
      </w:tr>
      <w:tr>
        <w:tc>
          <w:tcPr/>
          <w:p>
            <w:pPr>
              <w:pStyle w:val="Compact"/>
              <w:jc w:val="left"/>
            </w:pPr>
            <w:r>
              <w:t xml:space="preserve">Go/No-Go Confirmed</w:t>
            </w:r>
          </w:p>
        </w:tc>
        <w:tc>
          <w:tcPr/>
          <w:p>
            <w:pPr>
              <w:pStyle w:val="Compact"/>
              <w:jc w:val="left"/>
            </w:pPr>
            <w:r>
              <w:t xml:space="preserve">NO-GO recommended — geography and closed intake are both hard blockers</w:t>
            </w:r>
          </w:p>
        </w:tc>
      </w:tr>
    </w:tbl>
    <w:bookmarkEnd w:id="20"/>
    <w:bookmarkStart w:id="21" w:name="executive-summary"/>
    <w:p>
      <w:pPr>
        <w:pStyle w:val="Heading2"/>
      </w:pPr>
      <w:r>
        <w:t xml:space="preserve">EXECUTIVE SUMMARY</w:t>
      </w:r>
    </w:p>
    <w:p>
      <w:pPr>
        <w:pStyle w:val="FirstParagraph"/>
      </w:pPr>
      <w:r>
        <w:t xml:space="preserve">The Carlson Family Foundation’s Vibrant Communities priority funds inclusive access to arts, culture, and green spaces that affirm youth identity. GOODProjects requests $15,400 to expand SW Peace Gardens’ therapeutic gardening and healing-centered community events alongside GOODSports afterschool programming for the 2026-2027 program year. This is a strong programmatic match on paper. It is not a strong match geographically: GOODProjects serves Washington, DC, not the Twin Cities, and this application cannot be submitted honestly without that gap being resolved first.</w:t>
      </w:r>
    </w:p>
    <w:bookmarkEnd w:id="21"/>
    <w:bookmarkStart w:id="22" w:name="organizational-overview"/>
    <w:p>
      <w:pPr>
        <w:pStyle w:val="Heading2"/>
      </w:pPr>
      <w:r>
        <w:t xml:space="preserve">ORGANIZATIONAL OVERVIEW</w:t>
      </w:r>
    </w:p>
    <w:p>
      <w:pPr>
        <w:pStyle w:val="FirstParagraph"/>
      </w:pPr>
      <w:r>
        <w:t xml:space="preserve">GOODProjects is a Washington, DC nonprofit (founded 2016) working to end the cycle of intergenerational poverty through a place-based, two-generation model, pairing children’s education and youth development with the economic mobility, food security, health, and stability of the adults around them, so that progress in one generation reinforces the next. We serve residents of James Creek, Syphax Gardens, and Greenleaf, three public housing communities in Southwest DC’s Ward 6, where the median household income is approximately $14,000.</w:t>
      </w:r>
    </w:p>
    <w:p>
      <w:pPr>
        <w:pStyle w:val="BodyText"/>
      </w:pPr>
      <w:r>
        <w:t xml:space="preserve">GOODProjects operates with a staff of 30 (11 full-time, 19 part-time) and 50 volunteers. The organization has invested more than $8 million in Southwest DC since 2016. Our CEO Darius Baxter (Forbes 30 Under 30, 2023 Washingtonian of the Year) brings deep personal connection to the mission alongside executive leadership experience. Our 2024 audit by Desai Company returned an unmodified opinion (signed September 7, 2025).</w:t>
      </w:r>
    </w:p>
    <w:bookmarkEnd w:id="22"/>
    <w:bookmarkStart w:id="23" w:name="community-need"/>
    <w:p>
      <w:pPr>
        <w:pStyle w:val="Heading2"/>
      </w:pPr>
      <w:r>
        <w:t xml:space="preserve">COMMUNITY NEED</w:t>
      </w:r>
    </w:p>
    <w:p>
      <w:pPr>
        <w:pStyle w:val="FirstParagraph"/>
      </w:pPr>
      <w:r>
        <w:t xml:space="preserve">Southwest DC’s Ward 6 public housing communities, James Creek, Syphax Gardens, and Greenleaf, are among the city’s most resource-constrained neighborhoods. The families GOODProjects serves face overlapping, mutually reinforcing challenges: limited employment pathways, fragile housing, food insecurity, underfunded schools, health disparities, and the compounding trauma of community violence. Addressing any one of these in isolation does not produce lasting change. GOODProjects addresses them together.</w:t>
      </w:r>
    </w:p>
    <w:p>
      <w:pPr>
        <w:pStyle w:val="BodyText"/>
      </w:pPr>
      <w:r>
        <w:t xml:space="preserve">Youth in these communities have limited access to green, restorative spaces and structured recreational programming, both of which affirm identity and build resilience in ways that classroom instruction alone cannot. SW Peace Gardens and GOODSports were built to meet that specific gap.</w:t>
      </w:r>
    </w:p>
    <w:bookmarkEnd w:id="23"/>
    <w:bookmarkStart w:id="28" w:name="project-description"/>
    <w:p>
      <w:pPr>
        <w:pStyle w:val="Heading2"/>
      </w:pPr>
      <w:r>
        <w:t xml:space="preserve">PROJECT DESCRIPTION</w:t>
      </w:r>
    </w:p>
    <w:bookmarkStart w:id="24" w:name="program-anchor"/>
    <w:p>
      <w:pPr>
        <w:pStyle w:val="Heading3"/>
      </w:pPr>
      <w:r>
        <w:t xml:space="preserve">Program Anchor</w:t>
      </w:r>
    </w:p>
    <w:p>
      <w:pPr>
        <w:pStyle w:val="FirstParagraph"/>
      </w:pPr>
      <w:r>
        <w:t xml:space="preserve">SW Peace Gardens and GOODSports together match the Foundation’s Vibrant Communities priority: inclusive access to arts, culture, and green spaces that affirm youth identity.</w:t>
      </w:r>
    </w:p>
    <w:bookmarkEnd w:id="24"/>
    <w:bookmarkStart w:id="25" w:name="target-population"/>
    <w:p>
      <w:pPr>
        <w:pStyle w:val="Heading3"/>
      </w:pPr>
      <w:r>
        <w:t xml:space="preserve">Target Population</w:t>
      </w:r>
    </w:p>
    <w:p>
      <w:pPr>
        <w:pStyle w:val="FirstParagraph"/>
      </w:pPr>
      <w:r>
        <w:t xml:space="preserve">GOODProjects serves Black families living in Ward 6 public housing, James Creek, Syphax Gardens, and Greenleaf. Youth ages 5 to 14 participate in GOODSports through GOODLearningHub, while SW Peace Gardens programming reaches youth and families across the broader community through healing-centered events.</w:t>
      </w:r>
    </w:p>
    <w:bookmarkEnd w:id="25"/>
    <w:bookmarkStart w:id="26" w:name="activities-and-approach"/>
    <w:p>
      <w:pPr>
        <w:pStyle w:val="Heading3"/>
      </w:pPr>
      <w:r>
        <w:t xml:space="preserve">Activities and Approach</w:t>
      </w:r>
    </w:p>
    <w:p>
      <w:pPr>
        <w:pStyle w:val="FirstParagraph"/>
      </w:pPr>
      <w:r>
        <w:t xml:space="preserve">SW Peace Gardens delivers trauma-informed therapeutic gardening and healing-centered community events at gardens in Southwest DC, established in direct response to community violence. GOODSports uses football (soccer), basketball, and dance as life-skills vehicles within GOODLearningHub’s afterschool programming, reaching 50 to 100 youth. This request would fund expanded garden programming hours, event supplies, and coaching stipends for GOODSports across the 2026-2027 program year.</w:t>
      </w:r>
    </w:p>
    <w:bookmarkEnd w:id="26"/>
    <w:bookmarkStart w:id="27" w:name="timeline"/>
    <w:p>
      <w:pPr>
        <w:pStyle w:val="Heading3"/>
      </w:pPr>
      <w:r>
        <w:t xml:space="preserve">Timeline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Month 1-2</w:t>
            </w:r>
          </w:p>
        </w:tc>
        <w:tc>
          <w:tcPr/>
          <w:p>
            <w:pPr>
              <w:pStyle w:val="Compact"/>
              <w:jc w:val="left"/>
            </w:pPr>
            <w:r>
              <w:t xml:space="preserve">Program planning, supply procurement, and coaching staff confirmation</w:t>
            </w:r>
          </w:p>
        </w:tc>
      </w:tr>
      <w:tr>
        <w:tc>
          <w:tcPr/>
          <w:p>
            <w:pPr>
              <w:pStyle w:val="Compact"/>
              <w:jc w:val="left"/>
            </w:pPr>
            <w:r>
              <w:t xml:space="preserve">Month 3-4</w:t>
            </w:r>
          </w:p>
        </w:tc>
        <w:tc>
          <w:tcPr/>
          <w:p>
            <w:pPr>
              <w:pStyle w:val="Compact"/>
              <w:jc w:val="left"/>
            </w:pPr>
            <w:r>
              <w:t xml:space="preserve">Peace Garden season launch and GOODSports season launch</w:t>
            </w:r>
          </w:p>
        </w:tc>
      </w:tr>
      <w:tr>
        <w:tc>
          <w:tcPr/>
          <w:p>
            <w:pPr>
              <w:pStyle w:val="Compact"/>
              <w:jc w:val="left"/>
            </w:pPr>
            <w:r>
              <w:t xml:space="preserve">Month 5-8</w:t>
            </w:r>
          </w:p>
        </w:tc>
        <w:tc>
          <w:tcPr/>
          <w:p>
            <w:pPr>
              <w:pStyle w:val="Compact"/>
              <w:jc w:val="left"/>
            </w:pPr>
            <w:r>
              <w:t xml:space="preserve">Core programming: weekly garden sessions and GOODSports practices/games</w:t>
            </w:r>
          </w:p>
        </w:tc>
      </w:tr>
      <w:tr>
        <w:tc>
          <w:tcPr/>
          <w:p>
            <w:pPr>
              <w:pStyle w:val="Compact"/>
              <w:jc w:val="left"/>
            </w:pPr>
            <w:r>
              <w:t xml:space="preserve">Month 9-12</w:t>
            </w:r>
          </w:p>
        </w:tc>
        <w:tc>
          <w:tcPr/>
          <w:p>
            <w:pPr>
              <w:pStyle w:val="Compact"/>
              <w:jc w:val="left"/>
            </w:pPr>
            <w:r>
              <w:t xml:space="preserve">Culminating community events and program-year evaluation</w:t>
            </w:r>
          </w:p>
        </w:tc>
      </w:tr>
    </w:tbl>
    <w:bookmarkEnd w:id="27"/>
    <w:bookmarkEnd w:id="28"/>
    <w:bookmarkStart w:id="30" w:name="outcomes-and-evaluation"/>
    <w:p>
      <w:pPr>
        <w:pStyle w:val="Heading2"/>
      </w:pPr>
      <w:r>
        <w:t xml:space="preserve">OUTCOMES AND EVALUATION</w:t>
      </w:r>
    </w:p>
    <w:p>
      <w:pPr>
        <w:pStyle w:val="FirstParagraph"/>
      </w:pPr>
      <w:r>
        <w:t xml:space="preserve">GOODProjects tracks participation and outcomes across all programs using Salesforce CRM and program-specific data tools. Peace Gardens and GOODSports outcomes are reviewed alongside GOODLearningHub’s broader engagement data, since both programs draw participants from the same enrolled youth population.</w:t>
      </w:r>
    </w:p>
    <w:bookmarkStart w:id="29" w:name="committed-outcomes-for-this-grant"/>
    <w:p>
      <w:pPr>
        <w:pStyle w:val="Heading3"/>
      </w:pPr>
      <w:r>
        <w:t xml:space="preserve">Committed Outcomes for This Grant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50-100 youth engaged through combined Peace Gardens and GOODSports programming</w:t>
            </w:r>
          </w:p>
        </w:tc>
      </w:tr>
      <w:tr>
        <w:tc>
          <w:tcPr/>
          <w:p>
            <w:pPr>
              <w:pStyle w:val="Compact"/>
              <w:jc w:val="left"/>
            </w:pPr>
            <w:r>
              <w:t xml:space="preserve">Short-term</w:t>
            </w:r>
          </w:p>
        </w:tc>
        <w:tc>
          <w:tcPr/>
          <w:p>
            <w:pPr>
              <w:pStyle w:val="Compact"/>
              <w:jc w:val="left"/>
            </w:pPr>
            <w:r>
              <w:t xml:space="preserve">Consistent weekly participation across the program year</w:t>
            </w:r>
          </w:p>
        </w:tc>
      </w:tr>
      <w:tr>
        <w:tc>
          <w:tcPr/>
          <w:p>
            <w:pPr>
              <w:pStyle w:val="Compact"/>
              <w:jc w:val="left"/>
            </w:pPr>
            <w:r>
              <w:t xml:space="preserve">Medium-term</w:t>
            </w:r>
          </w:p>
        </w:tc>
        <w:tc>
          <w:tcPr/>
          <w:p>
            <w:pPr>
              <w:pStyle w:val="Compact"/>
              <w:jc w:val="left"/>
            </w:pPr>
            <w:r>
              <w:t xml:space="preserve">Youth-reported sense of belonging and identity affirmation, tracked through program surveys</w:t>
            </w:r>
          </w:p>
        </w:tc>
      </w:tr>
      <w:tr>
        <w:tc>
          <w:tcPr/>
          <w:p>
            <w:pPr>
              <w:pStyle w:val="Compact"/>
              <w:jc w:val="left"/>
            </w:pPr>
            <w:r>
              <w:t xml:space="preserve">Long-term</w:t>
            </w:r>
          </w:p>
        </w:tc>
        <w:tc>
          <w:tcPr/>
          <w:p>
            <w:pPr>
              <w:pStyle w:val="Compact"/>
              <w:jc w:val="left"/>
            </w:pPr>
            <w:r>
              <w:t xml:space="preserve">Continued enrollment in GOODLearningHub’s broader continuum, connecting Vibrant Communities programming to GOODProjects’ academic and family-stabilization outcomes</w:t>
            </w:r>
          </w:p>
        </w:tc>
      </w:tr>
    </w:tbl>
    <w:p>
      <w:pPr>
        <w:pStyle w:val="BodyText"/>
      </w:pPr>
      <w:r>
        <w:t xml:space="preserve">VERIFY BEFORE SUBMITTING: outcome measurement tools for Peace Gardens and GOODSports specifically are less developed than JUMPSTART’s or FSP’s documented metrics. Confirm with Stephanie Page-Baxter before finalizing.</w:t>
      </w:r>
    </w:p>
    <w:bookmarkEnd w:id="29"/>
    <w:bookmarkEnd w:id="30"/>
    <w:bookmarkStart w:id="31" w:name="equity-statement"/>
    <w:p>
      <w:pPr>
        <w:pStyle w:val="Heading2"/>
      </w:pPr>
      <w:r>
        <w:t xml:space="preserve">EQUITY STATEMENT</w:t>
      </w:r>
    </w:p>
    <w:p>
      <w:pPr>
        <w:pStyle w:val="FirstParagraph"/>
      </w:pPr>
      <w:r>
        <w:t xml:space="preserve">We operate on the principle that economic mobility requires addressing both skills gaps and systemic barriers simultaneously. We practice equity by eliminating barriers rather than asking people to overcome them. Our hiring, programming, and partnerships prioritize those with lived experience of the challenges we address. We actively recruit staff and board members from the communities we serve, recognizing that proximity to the problem creates proximity to the solution. We do not design programs for communities; we design them with communities.</w:t>
      </w:r>
    </w:p>
    <w:bookmarkEnd w:id="31"/>
    <w:bookmarkStart w:id="35" w:name="organizational-capacity"/>
    <w:p>
      <w:pPr>
        <w:pStyle w:val="Heading2"/>
      </w:pPr>
      <w:r>
        <w:t xml:space="preserve">ORGANIZATIONAL CAPACITY</w:t>
      </w:r>
    </w:p>
    <w:bookmarkStart w:id="32" w:name="key-personnel"/>
    <w:p>
      <w:pPr>
        <w:pStyle w:val="Heading3"/>
      </w:pPr>
      <w:r>
        <w:t xml:space="preserve">Key Personnel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Darius Baxter</w:t>
            </w:r>
          </w:p>
        </w:tc>
        <w:tc>
          <w:tcPr/>
          <w:p>
            <w:pPr>
              <w:pStyle w:val="Compact"/>
              <w:jc w:val="left"/>
            </w:pPr>
            <w:r>
              <w:t xml:space="preserve">Founder &amp; CEO / Authorized Signatory</w:t>
            </w:r>
          </w:p>
        </w:tc>
      </w:tr>
      <w:tr>
        <w:tc>
          <w:tcPr/>
          <w:p>
            <w:pPr>
              <w:pStyle w:val="Compact"/>
              <w:jc w:val="left"/>
            </w:pPr>
            <w:r>
              <w:t xml:space="preserve">Demetrius Baxter</w:t>
            </w:r>
          </w:p>
        </w:tc>
        <w:tc>
          <w:tcPr/>
          <w:p>
            <w:pPr>
              <w:pStyle w:val="Compact"/>
              <w:jc w:val="left"/>
            </w:pPr>
            <w:r>
              <w:t xml:space="preserve">Chief of Staff</w:t>
            </w:r>
          </w:p>
        </w:tc>
      </w:tr>
      <w:tr>
        <w:tc>
          <w:tcPr/>
          <w:p>
            <w:pPr>
              <w:pStyle w:val="Compact"/>
              <w:jc w:val="left"/>
            </w:pPr>
            <w:r>
              <w:t xml:space="preserve">Stephanie Page-Baxter</w:t>
            </w:r>
          </w:p>
        </w:tc>
        <w:tc>
          <w:tcPr/>
          <w:p>
            <w:pPr>
              <w:pStyle w:val="Compact"/>
              <w:jc w:val="left"/>
            </w:pPr>
            <w:r>
              <w:t xml:space="preserve">Director of Youth Programming</w:t>
            </w:r>
          </w:p>
        </w:tc>
      </w:tr>
      <w:tr>
        <w:tc>
          <w:tcPr/>
          <w:p>
            <w:pPr>
              <w:pStyle w:val="Compact"/>
              <w:jc w:val="left"/>
            </w:pPr>
            <w:r>
              <w:t xml:space="preserve">Neo Mangope</w:t>
            </w:r>
          </w:p>
        </w:tc>
        <w:tc>
          <w:tcPr/>
          <w:p>
            <w:pPr>
              <w:pStyle w:val="Compact"/>
              <w:jc w:val="left"/>
            </w:pPr>
            <w:r>
              <w:t xml:space="preserve">Fundraising &amp; Grants Officer</w:t>
            </w:r>
          </w:p>
        </w:tc>
      </w:tr>
      <w:tr>
        <w:tc>
          <w:tcPr/>
          <w:p>
            <w:pPr>
              <w:pStyle w:val="Compact"/>
              <w:jc w:val="left"/>
            </w:pPr>
            <w:r>
              <w:t xml:space="preserve">Marquel Webb</w:t>
            </w:r>
          </w:p>
        </w:tc>
        <w:tc>
          <w:tcPr/>
          <w:p>
            <w:pPr>
              <w:pStyle w:val="Compact"/>
              <w:jc w:val="left"/>
            </w:pPr>
            <w:r>
              <w:t xml:space="preserve">FSP Lead</w:t>
            </w:r>
          </w:p>
        </w:tc>
      </w:tr>
      <w:tr>
        <w:tc>
          <w:tcPr/>
          <w:p>
            <w:pPr>
              <w:pStyle w:val="Compact"/>
              <w:jc w:val="left"/>
            </w:pPr>
            <w:r>
              <w:t xml:space="preserve">Phileke Holland</w:t>
            </w:r>
          </w:p>
        </w:tc>
        <w:tc>
          <w:tcPr/>
          <w:p>
            <w:pPr>
              <w:pStyle w:val="Compact"/>
              <w:jc w:val="left"/>
            </w:pPr>
            <w:r>
              <w:t xml:space="preserve">Afterschool Lead / Youth Program Coordinator</w:t>
            </w:r>
          </w:p>
        </w:tc>
      </w:tr>
      <w:tr>
        <w:tc>
          <w:tcPr/>
          <w:p>
            <w:pPr>
              <w:pStyle w:val="Compact"/>
              <w:jc w:val="left"/>
            </w:pPr>
            <w:r>
              <w:t xml:space="preserve">Cole Bradshaw</w:t>
            </w:r>
          </w:p>
        </w:tc>
        <w:tc>
          <w:tcPr/>
          <w:p>
            <w:pPr>
              <w:pStyle w:val="Compact"/>
              <w:jc w:val="left"/>
            </w:pPr>
            <w:r>
              <w:t xml:space="preserve">Finance &amp; Operations</w:t>
            </w:r>
          </w:p>
        </w:tc>
      </w:tr>
      <w:tr>
        <w:tc>
          <w:tcPr/>
          <w:p>
            <w:pPr>
              <w:pStyle w:val="Compact"/>
              <w:jc w:val="left"/>
            </w:pPr>
            <w:r>
              <w:t xml:space="preserve">Melissa</w:t>
            </w:r>
          </w:p>
        </w:tc>
        <w:tc>
          <w:tcPr/>
          <w:p>
            <w:pPr>
              <w:pStyle w:val="Compact"/>
              <w:jc w:val="left"/>
            </w:pPr>
            <w:r>
              <w:t xml:space="preserve">Reporting &amp; Stewardship</w:t>
            </w:r>
          </w:p>
        </w:tc>
      </w:tr>
    </w:tbl>
    <w:bookmarkEnd w:id="32"/>
    <w:bookmarkStart w:id="33" w:name="partnerships"/>
    <w:p>
      <w:pPr>
        <w:pStyle w:val="Heading3"/>
      </w:pPr>
      <w:r>
        <w:t xml:space="preserve">Partnerships</w:t>
      </w:r>
    </w:p>
    <w:p>
      <w:pPr>
        <w:pStyle w:val="FirstParagraph"/>
      </w:pPr>
      <w:r>
        <w:t xml:space="preserve">GOODProjects’ key implementation partners include Amidon-Bowen Elementary School, DC Department of Employment Services (DOES), DC Department of Parks and Recreation (DPR), Southwest Business Improvement District (SWBID), C3 Wellness (mental health services), CityTutor DC, and DC Central Kitchen.</w:t>
      </w:r>
    </w:p>
    <w:bookmarkEnd w:id="33"/>
    <w:bookmarkStart w:id="34" w:name="financial-health"/>
    <w:p>
      <w:pPr>
        <w:pStyle w:val="Heading3"/>
      </w:pPr>
      <w:r>
        <w:t xml:space="preserve">Financial Health</w:t>
      </w:r>
    </w:p>
    <w:p>
      <w:pPr>
        <w:pStyle w:val="FirstParagraph"/>
      </w:pPr>
      <w:r>
        <w:t xml:space="preserve">Our FY2024 audit was conducted by Desai Company and returned an unmodified opinion (signed September 7, 2025). EIN: 81-1491594.</w:t>
      </w:r>
    </w:p>
    <w:bookmarkEnd w:id="34"/>
    <w:bookmarkEnd w:id="35"/>
    <w:bookmarkStart w:id="36" w:name="budget-narrative"/>
    <w:p>
      <w:pPr>
        <w:pStyle w:val="Heading2"/>
      </w:pPr>
      <w:r>
        <w:t xml:space="preserve">BUDGET NARRATIVE</w:t>
      </w:r>
    </w:p>
    <w:p>
      <w:pPr>
        <w:pStyle w:val="FirstParagraph"/>
      </w:pPr>
      <w:r>
        <w:t xml:space="preserve">Total request: $15,400 for the period September 1, 2026 through August 31, 2027.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Personnel</w:t>
            </w:r>
          </w:p>
        </w:tc>
        <w:tc>
          <w:tcPr/>
          <w:p>
            <w:pPr>
              <w:pStyle w:val="Compact"/>
              <w:jc w:val="left"/>
            </w:pPr>
            <w:r>
              <w:t xml:space="preserve">$0 (this request funds program supplies and stipends only; core staff time is covered through existing GOODLearningHub funding)</w:t>
            </w:r>
          </w:p>
        </w:tc>
      </w:tr>
      <w:tr>
        <w:tc>
          <w:tcPr/>
          <w:p>
            <w:pPr>
              <w:pStyle w:val="Compact"/>
              <w:jc w:val="left"/>
            </w:pPr>
            <w:r>
              <w:t xml:space="preserve">Fringe</w:t>
            </w:r>
          </w:p>
        </w:tc>
        <w:tc>
          <w:tcPr/>
          <w:p>
            <w:pPr>
              <w:pStyle w:val="Compact"/>
              <w:jc w:val="left"/>
            </w:pPr>
            <w:r>
              <w:t xml:space="preserve">Not applicable to this request</w:t>
            </w:r>
          </w:p>
        </w:tc>
      </w:tr>
      <w:tr>
        <w:tc>
          <w:tcPr/>
          <w:p>
            <w:pPr>
              <w:pStyle w:val="Compact"/>
              <w:jc w:val="left"/>
            </w:pPr>
            <w:r>
              <w:t xml:space="preserve">Program Supplies</w:t>
            </w:r>
          </w:p>
        </w:tc>
        <w:tc>
          <w:tcPr/>
          <w:p>
            <w:pPr>
              <w:pStyle w:val="Compact"/>
              <w:jc w:val="left"/>
            </w:pPr>
            <w:r>
              <w:t xml:space="preserve">$6,000 (Peace Gardens: seeds, tools, event supplies for healing-centered community events)</w:t>
            </w:r>
          </w:p>
        </w:tc>
      </w:tr>
      <w:tr>
        <w:tc>
          <w:tcPr/>
          <w:p>
            <w:pPr>
              <w:pStyle w:val="Compact"/>
              <w:jc w:val="left"/>
            </w:pPr>
            <w:r>
              <w:t xml:space="preserve">Participant Costs</w:t>
            </w:r>
          </w:p>
        </w:tc>
        <w:tc>
          <w:tcPr/>
          <w:p>
            <w:pPr>
              <w:pStyle w:val="Compact"/>
              <w:jc w:val="left"/>
            </w:pPr>
            <w:r>
              <w:t xml:space="preserve">$8,000 (GOODSports: equipment and coaching stipends)</w:t>
            </w:r>
          </w:p>
        </w:tc>
      </w:tr>
      <w:tr>
        <w:tc>
          <w:tcPr/>
          <w:p>
            <w:pPr>
              <w:pStyle w:val="Compact"/>
              <w:jc w:val="left"/>
            </w:pPr>
            <w:r>
              <w:t xml:space="preserve">Indirect</w:t>
            </w:r>
          </w:p>
        </w:tc>
        <w:tc>
          <w:tcPr/>
          <w:p>
            <w:pPr>
              <w:pStyle w:val="Compact"/>
              <w:jc w:val="left"/>
            </w:pPr>
            <w:r>
              <w:t xml:space="preserve">$1,400 (10% de minimis rate)</w:t>
            </w:r>
          </w:p>
        </w:tc>
      </w:tr>
      <w:tr>
        <w:tc>
          <w:tcPr/>
          <w:p>
            <w:pPr>
              <w:pStyle w:val="Compact"/>
              <w:jc w:val="left"/>
            </w:pPr>
            <w:r>
              <w:t xml:space="preserve">TOTAL</w:t>
            </w:r>
          </w:p>
        </w:tc>
        <w:tc>
          <w:tcPr/>
          <w:p>
            <w:pPr>
              <w:pStyle w:val="Compact"/>
              <w:jc w:val="left"/>
            </w:pPr>
            <w:r>
              <w:t xml:space="preserve">$15,400</w:t>
            </w:r>
          </w:p>
        </w:tc>
      </w:tr>
    </w:tbl>
    <w:p>
      <w:pPr>
        <w:pStyle w:val="BodyText"/>
      </w:pPr>
      <w:r>
        <w:t xml:space="preserve">VERIFY BEFORE SUBMITTING: Peace Gardens and GOODSports do not have standing itemized budgets like FSP or JUMPSTART. These figures are planning estimates and require Cole’s sign-off before submission.</w:t>
      </w:r>
    </w:p>
    <w:bookmarkEnd w:id="36"/>
    <w:bookmarkStart w:id="37" w:name="sustainability"/>
    <w:p>
      <w:pPr>
        <w:pStyle w:val="Heading2"/>
      </w:pPr>
      <w:r>
        <w:t xml:space="preserve">SUSTAINABILITY</w:t>
      </w:r>
    </w:p>
    <w:p>
      <w:pPr>
        <w:pStyle w:val="FirstParagraph"/>
      </w:pPr>
      <w:r>
        <w:t xml:space="preserve">GOODProjects does not depend on single-source funding. Our diversified revenue base includes foundation and trust grants ($985,500 in FY25), DC government grants ($384,403 in FY25), and individual and business contributions ($180,000 in FY25). Peace Gardens and GOODSports are embedded within GOODLearningHub’s operating model and will continue beyond this grant period as part of that core program.</w:t>
      </w:r>
    </w:p>
    <w:bookmarkEnd w:id="37"/>
    <w:bookmarkStart w:id="38" w:name="pre-submission-qa-gate"/>
    <w:p>
      <w:pPr>
        <w:pStyle w:val="Heading2"/>
      </w:pPr>
      <w:r>
        <w:t xml:space="preserve">PRE-SUBMISSION QA GATE</w:t>
      </w:r>
    </w:p>
    <w:p>
      <w:pPr>
        <w:pStyle w:val="FirstParagraph"/>
      </w:pPr>
      <w:r>
        <w:t xml:space="preserve">01 [x] All placeholders filled with real figures, flagged where estimated</w:t>
      </w:r>
      <w:r>
        <w:t xml:space="preserve"> </w:t>
      </w:r>
      <w:r>
        <w:t xml:space="preserve">02 [x] Funder ask is within a reasonable range for the Foundation’s Youth Participatory Grantmaking cap (up to $20,000)</w:t>
      </w:r>
      <w:r>
        <w:t xml:space="preserve"> </w:t>
      </w:r>
      <w:r>
        <w:t xml:space="preserve">03 [x] Budget total matches the headline ask ($6,000 + $8,000 + $1,400 = $15,400)</w:t>
      </w:r>
      <w:r>
        <w:t xml:space="preserve"> </w:t>
      </w:r>
      <w:r>
        <w:t xml:space="preserve">04 [ ] Indirect cost allowability not confirmed — confirm with Cole before submission</w:t>
      </w:r>
      <w:r>
        <w:t xml:space="preserve"> </w:t>
      </w:r>
      <w:r>
        <w:t xml:space="preserve">05 [x] No Cara Adams in the staffing section</w:t>
      </w:r>
      <w:r>
        <w:t xml:space="preserve"> </w:t>
      </w:r>
      <w:r>
        <w:t xml:space="preserve">06 [x] Address reads: 996 Maine Avenue SW, Suite 208, Washington, DC 20024</w:t>
      </w:r>
      <w:r>
        <w:t xml:space="preserve"> </w:t>
      </w:r>
      <w:r>
        <w:t xml:space="preserve">07 [x] Geography confirmed for GOODProjects (Ward 6) — but this does NOT satisfy the Foundation’s Twin Cities-only eligibility rule</w:t>
      </w:r>
      <w:r>
        <w:t xml:space="preserve"> </w:t>
      </w:r>
      <w:r>
        <w:t xml:space="preserve">08 [x] Executive summary tailored to the Foundation’s Vibrant Communities language</w:t>
      </w:r>
      <w:r>
        <w:t xml:space="preserve"> </w:t>
      </w:r>
      <w:r>
        <w:t xml:space="preserve">09 [x] Proof metrics chosen match the funder’s domain, though measurement tools need strengthening (see VERIFY note)</w:t>
      </w:r>
      <w:r>
        <w:t xml:space="preserve"> </w:t>
      </w:r>
      <w:r>
        <w:t xml:space="preserve">10 [x] All dates valid and inside the project period</w:t>
      </w:r>
      <w:r>
        <w:t xml:space="preserve"> </w:t>
      </w:r>
      <w:r>
        <w:t xml:space="preserve">11 [ ] Attachments not assembled — do not assemble until the go/no-go blockers below are resolved</w:t>
      </w:r>
      <w:r>
        <w:t xml:space="preserve"> </w:t>
      </w:r>
      <w:r>
        <w:t xml:space="preserve">12 [ ] Darius Baxter has not signed and should not sign while this fails eligibility</w:t>
      </w:r>
      <w:r>
        <w:t xml:space="preserve"> </w:t>
      </w:r>
      <w:r>
        <w:t xml:space="preserve">13 [x] Humanize pass completed (no em or en dashes, no significance inflation, no vague attributions, no chatbot framing)</w:t>
      </w:r>
      <w:r>
        <w:t xml:space="preserve"> </w:t>
      </w:r>
      <w:r>
        <w:t xml:space="preserve">14 [ ] PDF not produced — do not produce until Neo confirms this should move forward despite the blockers</w:t>
      </w:r>
    </w:p>
    <w:p>
      <w:r>
        <w:pict>
          <v:rect style="width:0;height:1.5pt" o:hralign="center" o:hrstd="t" o:hr="t"/>
        </w:pict>
      </w:r>
    </w:p>
    <w:bookmarkEnd w:id="38"/>
    <w:bookmarkStart w:id="39" w:name="open-items-before-this-can-be-submitted"/>
    <w:p>
      <w:pPr>
        <w:pStyle w:val="Heading2"/>
      </w:pPr>
      <w:r>
        <w:t xml:space="preserve">OPEN ITEMS BEFORE THIS CAN BE SUBMITTED</w:t>
      </w:r>
    </w:p>
    <w:p>
      <w:pPr>
        <w:numPr>
          <w:ilvl w:val="0"/>
          <w:numId w:val="1001"/>
        </w:numPr>
        <w:pStyle w:val="Compact"/>
      </w:pPr>
      <w:r>
        <w:rPr>
          <w:bCs/>
          <w:b/>
        </w:rPr>
        <w:t xml:space="preserve">Geography is not resolved and cannot be resolved by editing this draft.</w:t>
      </w:r>
      <w:r>
        <w:t xml:space="preserve"> </w:t>
      </w:r>
      <w:r>
        <w:t xml:space="preserve">The Carlson Family Foundation funds Minneapolis and St. Paul programs only. GOODProjects has no Twin Cities presence. Submitting this application as written would misrepresent GOODProjects’ eligibility. Recommend not submitting unless GOODProjects develops Twin Cities-based programming, which is outside current mission and service area.</w:t>
      </w:r>
    </w:p>
    <w:p>
      <w:pPr>
        <w:numPr>
          <w:ilvl w:val="0"/>
          <w:numId w:val="1001"/>
        </w:numPr>
        <w:pStyle w:val="Compact"/>
      </w:pPr>
      <w:r>
        <w:rPr>
          <w:bCs/>
          <w:b/>
        </w:rPr>
        <w:t xml:space="preserve">The Foundation is not accepting 2026 LOIs</w:t>
      </w:r>
      <w:r>
        <w:t xml:space="preserve">, independent of the geography issue. There is currently no open door to submit through even if the geography were resolved.</w:t>
      </w:r>
    </w:p>
    <w:p>
      <w:pPr>
        <w:numPr>
          <w:ilvl w:val="0"/>
          <w:numId w:val="1001"/>
        </w:numPr>
        <w:pStyle w:val="Compact"/>
      </w:pPr>
      <w:r>
        <w:rPr>
          <w:bCs/>
          <w:b/>
        </w:rPr>
        <w:t xml:space="preserve">If Neo wants this content preserved for a different, geographically eligible funder</w:t>
      </w:r>
      <w:r>
        <w:t xml:space="preserve"> </w:t>
      </w:r>
      <w:r>
        <w:t xml:space="preserve">with a similar Vibrant Communities-style priority (arts, culture, green space, youth identity), this draft’s program narrative (SW Peace Gardens plus GOODSports) can be redirected there with funder-specific customization.</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2026-07-14T17:54:48Z</dcterms:created>
  <dcterms:modified xsi:type="dcterms:W3CDTF">2026-07-14T17:54:48Z</dcterms:modified>
</cp:coreProperties>
</file>

<file path=docProps/custom.xml><?xml version="1.0" encoding="utf-8"?>
<Properties xmlns="http://schemas.openxmlformats.org/officeDocument/2006/custom-properties" xmlns:vt="http://schemas.openxmlformats.org/officeDocument/2006/docPropsVTypes"/>
</file>