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GOODProjects</w:t>
      </w:r>
      <w:r>
        <w:t xml:space="preserve"> </w:t>
      </w:r>
      <w:r>
        <w:t xml:space="preserve">Corporate Grant Draft</w:t>
      </w:r>
      <w:r>
        <w:t xml:space="preserve"> </w:t>
      </w:r>
      <w:r>
        <w:t xml:space="preserve">Corning Incorporated Community Impact and Investment — JUMPSTART Workforce Development</w:t>
      </w:r>
    </w:p>
    <w:p>
      <w:pPr>
        <w:pStyle w:val="BodyText"/>
      </w:pPr>
      <w:r>
        <w:t xml:space="preserve">STATUS: Draft for Neo’s go/no-go review. Not yet submitted. Corning’s Community Impact and Investment program is invitation-only: eligible organizations introduce themselves by email before any application is accepted. This draft is written and ready so that if Corning invites a full application, GOODProjects can respond immediately rather than starting from a blank page. See the companion qualification note,</w:t>
      </w:r>
      <w:r>
        <w:t xml:space="preserve"> </w:t>
      </w:r>
      <w:r>
        <w:rPr>
          <w:rStyle w:val="VerbatimChar"/>
        </w:rPr>
        <w:t xml:space="preserve">2026-row202-corning-incorporated-community-impact-PENDING.md</w:t>
      </w:r>
      <w:r>
        <w:t xml:space="preserve">, for the full eligibility analysis: GOODProjects sits roughly 1.1 miles from Corning’s Washington, DC Government Affairs office and about 20.5 miles from Corning’s Optical Communications office in Herndon, Virginia, but neither location’s employee count is confirmed against Corning’s 50-employee threshold. The next concrete step is the introductory email to philanthropy@corning.com, not submission of this draft on its own.</w:t>
      </w:r>
    </w:p>
    <w:bookmarkStart w:id="20" w:name="funder-opportunity-details"/>
    <w:p>
      <w:pPr>
        <w:pStyle w:val="Heading2"/>
      </w:pPr>
      <w:r>
        <w:t xml:space="preserve">FUNDER &amp; OPPORTUNITY DETAILS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Company / Foundation</w:t>
            </w:r>
          </w:p>
        </w:tc>
        <w:tc>
          <w:tcPr/>
          <w:p>
            <w:pPr>
              <w:pStyle w:val="Compact"/>
              <w:jc w:val="left"/>
            </w:pPr>
            <w:r>
              <w:t xml:space="preserve">Corning Incorporated</w:t>
            </w:r>
          </w:p>
        </w:tc>
      </w:tr>
      <w:tr>
        <w:tc>
          <w:tcPr/>
          <w:p>
            <w:pPr>
              <w:pStyle w:val="Compact"/>
              <w:jc w:val="left"/>
            </w:pPr>
            <w:r>
              <w:t xml:space="preserve">Program / Fund</w:t>
            </w:r>
          </w:p>
        </w:tc>
        <w:tc>
          <w:tcPr/>
          <w:p>
            <w:pPr>
              <w:pStyle w:val="Compact"/>
              <w:jc w:val="left"/>
            </w:pPr>
            <w:r>
              <w:t xml:space="preserve">Community Impact and Investment</w:t>
            </w:r>
          </w:p>
        </w:tc>
      </w:tr>
      <w:tr>
        <w:tc>
          <w:tcPr/>
          <w:p>
            <w:pPr>
              <w:pStyle w:val="Compact"/>
              <w:jc w:val="left"/>
            </w:pPr>
            <w:r>
              <w:t xml:space="preserve">Stage</w:t>
            </w:r>
          </w:p>
        </w:tc>
        <w:tc>
          <w:tcPr/>
          <w:p>
            <w:pPr>
              <w:pStyle w:val="Compact"/>
              <w:jc w:val="left"/>
            </w:pPr>
            <w:r>
              <w:t xml:space="preserve">Invitation-only. Introductory email to philanthropy@corning.com required before Corning will accept a full application.</w:t>
            </w:r>
          </w:p>
        </w:tc>
      </w:tr>
      <w:tr>
        <w:tc>
          <w:tcPr/>
          <w:p>
            <w:pPr>
              <w:pStyle w:val="Compact"/>
              <w:jc w:val="left"/>
            </w:pPr>
            <w:r>
              <w:t xml:space="preserve">Ask Amount</w:t>
            </w:r>
          </w:p>
        </w:tc>
        <w:tc>
          <w:tcPr/>
          <w:p>
            <w:pPr>
              <w:pStyle w:val="Compact"/>
              <w:jc w:val="left"/>
            </w:pPr>
            <w:r>
              <w:t xml:space="preserve">$27,060</w:t>
            </w:r>
          </w:p>
        </w:tc>
      </w:tr>
      <w:tr>
        <w:tc>
          <w:tcPr/>
          <w:p>
            <w:pPr>
              <w:pStyle w:val="Compact"/>
              <w:jc w:val="left"/>
            </w:pPr>
            <w:r>
              <w:t xml:space="preserve">Deadline</w:t>
            </w:r>
          </w:p>
        </w:tc>
        <w:tc>
          <w:tcPr/>
          <w:p>
            <w:pPr>
              <w:pStyle w:val="Compact"/>
              <w:jc w:val="left"/>
            </w:pPr>
            <w:r>
              <w:t xml:space="preserve">Business-location cycle runs February 15 to September 15 annually; no organization-specific deadline confirmed</w:t>
            </w:r>
          </w:p>
        </w:tc>
      </w:tr>
      <w:tr>
        <w:tc>
          <w:tcPr/>
          <w:p>
            <w:pPr>
              <w:pStyle w:val="Compact"/>
              <w:jc w:val="left"/>
            </w:pPr>
            <w:r>
              <w:t xml:space="preserve">Contact</w:t>
            </w:r>
          </w:p>
        </w:tc>
        <w:tc>
          <w:tcPr/>
          <w:p>
            <w:pPr>
              <w:pStyle w:val="Compact"/>
              <w:jc w:val="left"/>
            </w:pPr>
            <w:r>
              <w:t xml:space="preserve">philanthropy@corning.com</w:t>
            </w:r>
          </w:p>
        </w:tc>
      </w:tr>
      <w:tr>
        <w:tc>
          <w:tcPr/>
          <w:p>
            <w:pPr>
              <w:pStyle w:val="Compact"/>
              <w:jc w:val="left"/>
            </w:pPr>
            <w:r>
              <w:t xml:space="preserve">Strategic Fit</w:t>
            </w:r>
          </w:p>
        </w:tc>
        <w:tc>
          <w:tcPr/>
          <w:p>
            <w:pPr>
              <w:pStyle w:val="Compact"/>
              <w:jc w:val="left"/>
            </w:pPr>
            <w:r>
              <w:t xml:space="preserve">Corning’s Community Impact and Investment program funds workforce support, STEM education, small business development, and local DEI efforts. JUMPSTART is GOODProjects’ youth workforce pathway, converting years of afterschool investment into paid internships and permanent employment for Ward 6 young adults.</w:t>
            </w:r>
          </w:p>
        </w:tc>
      </w:tr>
      <w:tr>
        <w:tc>
          <w:tcPr/>
          <w:p>
            <w:pPr>
              <w:pStyle w:val="Compact"/>
              <w:jc w:val="left"/>
            </w:pPr>
            <w:r>
              <w:t xml:space="preserve">Go/No-Go Confirmed</w:t>
            </w:r>
          </w:p>
        </w:tc>
        <w:tc>
          <w:tcPr/>
          <w:p>
            <w:pPr>
              <w:pStyle w:val="Compact"/>
              <w:jc w:val="left"/>
            </w:pPr>
            <w:r>
              <w:t xml:space="preserve">Not yet — routing to Neo, contingent on Corning’s response to the introductory email</w:t>
            </w:r>
          </w:p>
        </w:tc>
      </w:tr>
    </w:tbl>
    <w:p>
      <w:r>
        <w:pict>
          <v:rect style="width:0;height:1.5pt" o:hralign="center" o:hrstd="t" o:hr="t"/>
        </w:pict>
      </w:r>
    </w:p>
    <w:bookmarkEnd w:id="20"/>
    <w:bookmarkStart w:id="26" w:name="part-a-letter-of-intent-loi"/>
    <w:p>
      <w:pPr>
        <w:pStyle w:val="Heading2"/>
      </w:pPr>
      <w:r>
        <w:t xml:space="preserve">PART A — LETTER OF INTENT (LOI)</w:t>
      </w:r>
    </w:p>
    <w:bookmarkStart w:id="21" w:name="opening-paragraph-mission-and-ask"/>
    <w:p>
      <w:pPr>
        <w:pStyle w:val="Heading3"/>
      </w:pPr>
      <w:r>
        <w:t xml:space="preserve">Opening Paragraph — Mission and Ask</w:t>
      </w:r>
    </w:p>
    <w:p>
      <w:pPr>
        <w:pStyle w:val="FirstParagraph"/>
      </w:pPr>
      <w:r>
        <w:t xml:space="preserve">GOODProjects operates JUMPSTART, a four-stage workforce pathway that moves Southwest DC youth from paid internship to permanent employment. We respectfully request $27,060 from Corning’s Community Impact and Investment program to fund 12 paid internship placements for JUMPSTART participants during the 2026-2027 program year.</w:t>
      </w:r>
    </w:p>
    <w:bookmarkEnd w:id="21"/>
    <w:bookmarkStart w:id="22" w:name="the-problem-we-are-solving"/>
    <w:p>
      <w:pPr>
        <w:pStyle w:val="Heading3"/>
      </w:pPr>
      <w:r>
        <w:t xml:space="preserve">The Problem We Are Solving</w:t>
      </w:r>
    </w:p>
    <w:p>
      <w:pPr>
        <w:pStyle w:val="FirstParagraph"/>
      </w:pPr>
      <w:r>
        <w:t xml:space="preserve">Young adults in Southwest DC’s Ward 6 public housing communities face a workforce on-ramp problem: strong afterschool investment through childhood, then a gap in structured pathways to paid work once they age out of youth programming. Without a bridge, alumni of years of tutoring and mentorship risk idling in a labor market that rarely reaches into James Creek, Syphax Gardens, and Greenleaf. GOODProjects has already built the relationships and the trust; what participants need next is a paid, supervised first step into the workforce.</w:t>
      </w:r>
    </w:p>
    <w:bookmarkEnd w:id="22"/>
    <w:bookmarkStart w:id="23" w:name="our-approach"/>
    <w:p>
      <w:pPr>
        <w:pStyle w:val="Heading3"/>
      </w:pPr>
      <w:r>
        <w:t xml:space="preserve">Our Approach</w:t>
      </w:r>
    </w:p>
    <w:p>
      <w:pPr>
        <w:pStyle w:val="FirstParagraph"/>
      </w:pPr>
      <w:r>
        <w:t xml:space="preserve">JUMPSTART converts nine years of investment in GOODLearningHub youth into permanent employment through a four-stage pathway: alumni tracking and intake, a 40-hour Career Launchpad training in resume writing, interviewing, and workplace communication, a six-week paid internship with a GOODZone Business Partner at $15 per hour, and a 90-day retention period supported by a dedicated Placement Coordinator. Each stage builds on the last, so a young person who starts in outreach can finish in a permanent job.</w:t>
      </w:r>
    </w:p>
    <w:bookmarkEnd w:id="23"/>
    <w:bookmarkStart w:id="24" w:name="why-we-are-the-right-partner"/>
    <w:p>
      <w:pPr>
        <w:pStyle w:val="Heading3"/>
      </w:pPr>
      <w:r>
        <w:t xml:space="preserve">Why We Are the Right Partner</w:t>
      </w:r>
    </w:p>
    <w:p>
      <w:pPr>
        <w:pStyle w:val="FirstParagraph"/>
      </w:pPr>
      <w:r>
        <w:t xml:space="preserve">GOODProjects has served Southwest DC for nearly a decade. We have invested $8 million in Ward 6 families, earned recognition from Forbes, CBS 60 Minutes, and NBC Nightly News, and built lasting partnerships with the DC Department of Employment Services, DC Parks and Recreation, and more than 20 community organizations.</w:t>
      </w:r>
    </w:p>
    <w:bookmarkEnd w:id="24"/>
    <w:bookmarkStart w:id="25" w:name="the-ask"/>
    <w:p>
      <w:pPr>
        <w:pStyle w:val="Heading3"/>
      </w:pPr>
      <w:r>
        <w:t xml:space="preserve">The Ask</w:t>
      </w:r>
    </w:p>
    <w:p>
      <w:pPr>
        <w:pStyle w:val="FirstParagraph"/>
      </w:pPr>
      <w:r>
        <w:t xml:space="preserve">We respectfully request $27,060 to fund 12 paid internship placements through JUMPSTART’s Stage 3, connecting Southwest DC young adults to GOODZone Business Partners for six weeks of supervised, paid work experience.</w:t>
      </w:r>
    </w:p>
    <w:p>
      <w:r>
        <w:pict>
          <v:rect style="width:0;height:1.5pt" o:hralign="center" o:hrstd="t" o:hr="t"/>
        </w:pict>
      </w:r>
    </w:p>
    <w:bookmarkEnd w:id="25"/>
    <w:bookmarkEnd w:id="26"/>
    <w:bookmarkStart w:id="33" w:name="part-b-full-application"/>
    <w:p>
      <w:pPr>
        <w:pStyle w:val="Heading2"/>
      </w:pPr>
      <w:r>
        <w:t xml:space="preserve">PART B — FULL APPLICATION</w:t>
      </w:r>
    </w:p>
    <w:bookmarkStart w:id="27" w:name="organization-description"/>
    <w:p>
      <w:pPr>
        <w:pStyle w:val="Heading3"/>
      </w:pPr>
      <w:r>
        <w:t xml:space="preserve">Organization Description</w:t>
      </w:r>
    </w:p>
    <w:p>
      <w:pPr>
        <w:pStyle w:val="FirstParagraph"/>
      </w:pPr>
      <w:r>
        <w:t xml:space="preserve">GOODProjects is a Washington, DC nonprofit (founded 2016) working to end the cycle of intergenerational poverty through a place-based, two-generation model, pairing children’s education and youth development with the economic mobility, food security, health, and stability of the adults around them, so that progress in one generation reinforces the next. We serve residents of James Creek, Syphax Gardens, and Greenleaf, three public housing communities in Southwest DC’s Ward 6, where the median household income is approximately $14,000.</w:t>
      </w:r>
    </w:p>
    <w:bookmarkEnd w:id="27"/>
    <w:bookmarkStart w:id="28" w:name="community-served"/>
    <w:p>
      <w:pPr>
        <w:pStyle w:val="Heading3"/>
      </w:pPr>
      <w:r>
        <w:t xml:space="preserve">Community Served</w:t>
      </w:r>
    </w:p>
    <w:p>
      <w:pPr>
        <w:pStyle w:val="FirstParagraph"/>
      </w:pPr>
      <w:r>
        <w:t xml:space="preserve">We serve residents of James Creek, Syphax Gardens, and Greenleaf, three public housing communities in Southwest DC’s Ward 6. Approximately 95% of participants identify as Black or African American. Median household income is approximately $14,000 per year.</w:t>
      </w:r>
    </w:p>
    <w:bookmarkEnd w:id="28"/>
    <w:bookmarkStart w:id="29" w:name="program-description"/>
    <w:p>
      <w:pPr>
        <w:pStyle w:val="Heading3"/>
      </w:pPr>
      <w:r>
        <w:t xml:space="preserve">Program Description</w:t>
      </w:r>
    </w:p>
    <w:p>
      <w:pPr>
        <w:pStyle w:val="FirstParagraph"/>
      </w:pPr>
      <w:r>
        <w:t xml:space="preserve">JUMPSTART is the fourth phase of GOODProjects’ continuum of care, following Family Success Planning, GOODLearningHub afterschool programming, and GOODZone violence interruption. It serves GOODLearningHub alumni ages 14 to 24 who carry an active Family Success Planning family connection. Participants move through four stages: proactive outreach and intake with a dedicated coach, a 40-hour Career Launchpad covering resume building, interview practice, professional communication, financial literacy, and workplace etiquette, a six-week paid internship placement with a GOODZone Business Partner at $15 per hour for 20 hours per week, and a 90-day retention period with a dedicated Placement Coordinator managing the transition from internship to permanent hire. This $27,060 request funds Stage 3 internship placements for 12 participants during the 2026-2027 program year.</w:t>
      </w:r>
    </w:p>
    <w:bookmarkEnd w:id="29"/>
    <w:bookmarkStart w:id="30" w:name="outcomes"/>
    <w:p>
      <w:pPr>
        <w:pStyle w:val="Heading3"/>
      </w:pPr>
      <w:r>
        <w:t xml:space="preserve">Outcomes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Participants Served</w:t>
            </w:r>
          </w:p>
        </w:tc>
        <w:tc>
          <w:tcPr/>
          <w:p>
            <w:pPr>
              <w:pStyle w:val="Compact"/>
              <w:jc w:val="left"/>
            </w:pPr>
            <w:r>
              <w:t xml:space="preserve">12 JUMPSTART participants placed in paid internships</w:t>
            </w:r>
          </w:p>
        </w:tc>
      </w:tr>
      <w:tr>
        <w:tc>
          <w:tcPr/>
          <w:p>
            <w:pPr>
              <w:pStyle w:val="Compact"/>
              <w:jc w:val="left"/>
            </w:pPr>
            <w:r>
              <w:t xml:space="preserve">Primary Outcome</w:t>
            </w:r>
          </w:p>
        </w:tc>
        <w:tc>
          <w:tcPr/>
          <w:p>
            <w:pPr>
              <w:pStyle w:val="Compact"/>
              <w:jc w:val="left"/>
            </w:pPr>
            <w:r>
              <w:t xml:space="preserve">85% completion rate for the six-week paid internship, based on JUMPSTART’s documented target</w:t>
            </w:r>
          </w:p>
        </w:tc>
      </w:tr>
      <w:tr>
        <w:tc>
          <w:tcPr/>
          <w:p>
            <w:pPr>
              <w:pStyle w:val="Compact"/>
              <w:jc w:val="left"/>
            </w:pPr>
            <w:r>
              <w:t xml:space="preserve">Secondary Outcome</w:t>
            </w:r>
          </w:p>
        </w:tc>
        <w:tc>
          <w:tcPr/>
          <w:p>
            <w:pPr>
              <w:pStyle w:val="Compact"/>
              <w:jc w:val="left"/>
            </w:pPr>
            <w:r>
              <w:t xml:space="preserve">40% internship-to-permanent-hire conversion, matching JUMPSTART’s established outcome target</w:t>
            </w:r>
          </w:p>
        </w:tc>
      </w:tr>
      <w:tr>
        <w:tc>
          <w:tcPr/>
          <w:p>
            <w:pPr>
              <w:pStyle w:val="Compact"/>
              <w:jc w:val="left"/>
            </w:pPr>
            <w:r>
              <w:t xml:space="preserve">Measurement Method</w:t>
            </w:r>
          </w:p>
        </w:tc>
        <w:tc>
          <w:tcPr/>
          <w:p>
            <w:pPr>
              <w:pStyle w:val="Compact"/>
              <w:jc w:val="left"/>
            </w:pPr>
            <w:r>
              <w:t xml:space="preserve">Salesforce CRM tracking of enrollment, completion, and placement, cross-referenced with employer-reported retention at 90 days</w:t>
            </w:r>
          </w:p>
        </w:tc>
      </w:tr>
      <w:tr>
        <w:tc>
          <w:tcPr/>
          <w:p>
            <w:pPr>
              <w:pStyle w:val="Compact"/>
              <w:jc w:val="left"/>
            </w:pPr>
            <w:r>
              <w:t xml:space="preserve">Reporting Timeline</w:t>
            </w:r>
          </w:p>
        </w:tc>
        <w:tc>
          <w:tcPr/>
          <w:p>
            <w:pPr>
              <w:pStyle w:val="Compact"/>
              <w:jc w:val="left"/>
            </w:pPr>
            <w:r>
              <w:t xml:space="preserve">Mid-year and final report, or per Corning’s specific reporting requirement once confirmed</w:t>
            </w:r>
          </w:p>
        </w:tc>
      </w:tr>
    </w:tbl>
    <w:bookmarkEnd w:id="30"/>
    <w:bookmarkStart w:id="31" w:name="corporate-partnership-opportunities"/>
    <w:p>
      <w:pPr>
        <w:pStyle w:val="Heading3"/>
      </w:pPr>
      <w:r>
        <w:t xml:space="preserve">Corporate Partnership Opportunities</w:t>
      </w:r>
    </w:p>
    <w:p>
      <w:pPr>
        <w:pStyle w:val="FirstParagraph"/>
      </w:pPr>
      <w:r>
        <w:t xml:space="preserve">Beyond this grant, Corning could engage with JUMPSTART through employee-led resume workshops or mock interviews during Career Launchpad training, or by joining the roster of GOODZone Business Partners that host paid internship placements. We would welcome a conversation about either.</w:t>
      </w:r>
    </w:p>
    <w:bookmarkEnd w:id="31"/>
    <w:bookmarkStart w:id="32" w:name="budget-summary"/>
    <w:p>
      <w:pPr>
        <w:pStyle w:val="Heading3"/>
      </w:pPr>
      <w:r>
        <w:t xml:space="preserve">Budget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Total Request</w:t>
            </w:r>
          </w:p>
        </w:tc>
        <w:tc>
          <w:tcPr/>
          <w:p>
            <w:pPr>
              <w:pStyle w:val="Compact"/>
              <w:jc w:val="left"/>
            </w:pPr>
            <w:r>
              <w:t xml:space="preserve">$27,060</w:t>
            </w:r>
          </w:p>
        </w:tc>
      </w:tr>
      <w:tr>
        <w:tc>
          <w:tcPr/>
          <w:p>
            <w:pPr>
              <w:pStyle w:val="Compact"/>
              <w:jc w:val="left"/>
            </w:pPr>
            <w:r>
              <w:t xml:space="preserve">Personnel</w:t>
            </w:r>
          </w:p>
        </w:tc>
        <w:tc>
          <w:tcPr/>
          <w:p>
            <w:pPr>
              <w:pStyle w:val="Compact"/>
              <w:jc w:val="left"/>
            </w:pPr>
            <w:r>
              <w:t xml:space="preserve">$24,600 (12 paid internship placements, $2,050 per participant, covering stipend, Career Launchpad materials, transportation, and wellness support per JUMPSTART’s documented per-youth cost)</w:t>
            </w:r>
          </w:p>
        </w:tc>
      </w:tr>
      <w:tr>
        <w:tc>
          <w:tcPr/>
          <w:p>
            <w:pPr>
              <w:pStyle w:val="Compact"/>
              <w:jc w:val="left"/>
            </w:pPr>
            <w:r>
              <w:t xml:space="preserve">Program Costs</w:t>
            </w:r>
          </w:p>
        </w:tc>
        <w:tc>
          <w:tcPr/>
          <w:p>
            <w:pPr>
              <w:pStyle w:val="Compact"/>
              <w:jc w:val="left"/>
            </w:pPr>
            <w:r>
              <w:t xml:space="preserve">$0 (this request funds internship placements only)</w:t>
            </w:r>
          </w:p>
        </w:tc>
      </w:tr>
      <w:tr>
        <w:tc>
          <w:tcPr/>
          <w:p>
            <w:pPr>
              <w:pStyle w:val="Compact"/>
              <w:jc w:val="left"/>
            </w:pPr>
            <w:r>
              <w:t xml:space="preserve">Indirect</w:t>
            </w:r>
          </w:p>
        </w:tc>
        <w:tc>
          <w:tcPr/>
          <w:p>
            <w:pPr>
              <w:pStyle w:val="Compact"/>
              <w:jc w:val="left"/>
            </w:pPr>
            <w:r>
              <w:t xml:space="preserve">$2,460 (10% de minimis rate)</w:t>
            </w:r>
          </w:p>
        </w:tc>
      </w:tr>
      <w:tr>
        <w:tc>
          <w:tcPr/>
          <w:p>
            <w:pPr>
              <w:pStyle w:val="Compact"/>
              <w:jc w:val="left"/>
            </w:pPr>
            <w:r>
              <w:t xml:space="preserve">Other GOODProjects Funding for This Project</w:t>
            </w:r>
          </w:p>
        </w:tc>
        <w:tc>
          <w:tcPr/>
          <w:p>
            <w:pPr>
              <w:pStyle w:val="Compact"/>
              <w:jc w:val="left"/>
            </w:pPr>
            <w:r>
              <w:t xml:space="preserve">JUMPSTART operates as part of GOODProjects’ broader continuum of care, drawing on the same staffing infrastructure funded through Family Success Planning and GOODLearningHub. This request adds incremental internship capacity on top of existing, funded programming.</w:t>
            </w:r>
          </w:p>
        </w:tc>
      </w:tr>
    </w:tbl>
    <w:p>
      <w:r>
        <w:pict>
          <v:rect style="width:0;height:1.5pt" o:hralign="center" o:hrstd="t" o:hr="t"/>
        </w:pict>
      </w:r>
    </w:p>
    <w:bookmarkEnd w:id="32"/>
    <w:bookmarkEnd w:id="33"/>
    <w:bookmarkStart w:id="34" w:name="pre-submission-qa-gate"/>
    <w:p>
      <w:pPr>
        <w:pStyle w:val="Heading2"/>
      </w:pPr>
      <w:r>
        <w:t xml:space="preserve">PRE-SUBMISSION QA GATE</w:t>
      </w:r>
    </w:p>
    <w:p>
      <w:pPr>
        <w:pStyle w:val="FirstParagraph"/>
      </w:pPr>
      <w:r>
        <w:t xml:space="preserve">01 [x] All placeholders filled with real, verified figures</w:t>
      </w:r>
      <w:r>
        <w:t xml:space="preserve"> </w:t>
      </w:r>
      <w:r>
        <w:t xml:space="preserve">02 [ ] Funder ask is within the stated cap — Corning has not published a per-grant cap; $27,060 is a reasonable mid-size ask but not confirmed against a stated ceiling</w:t>
      </w:r>
      <w:r>
        <w:t xml:space="preserve"> </w:t>
      </w:r>
      <w:r>
        <w:t xml:space="preserve">03 [x] Budget total matches the headline ask ($24,600 + $2,460 indirect = $27,060)</w:t>
      </w:r>
      <w:r>
        <w:t xml:space="preserve"> </w:t>
      </w:r>
      <w:r>
        <w:t xml:space="preserve">04 [ ] Indirect cost allowability not confirmed — confirm with Cole before submission</w:t>
      </w:r>
      <w:r>
        <w:t xml:space="preserve"> </w:t>
      </w:r>
      <w:r>
        <w:t xml:space="preserve">05 [x] No Cara Adams in the staffing section</w:t>
      </w:r>
      <w:r>
        <w:t xml:space="preserve"> </w:t>
      </w:r>
      <w:r>
        <w:t xml:space="preserve">06 [x] Address reads: 996 Maine Avenue SW, Suite 208, Washington, DC 20024</w:t>
      </w:r>
      <w:r>
        <w:t xml:space="preserve"> </w:t>
      </w:r>
      <w:r>
        <w:t xml:space="preserve">07 [x] Geography confirmed: Ward 6, James Creek / Syphax Gardens / Greenleaf</w:t>
      </w:r>
      <w:r>
        <w:t xml:space="preserve"> </w:t>
      </w:r>
      <w:r>
        <w:t xml:space="preserve">08 [x] Executive summary tailored to Corning’s workforce support and STEM/education focus areas</w:t>
      </w:r>
      <w:r>
        <w:t xml:space="preserve"> </w:t>
      </w:r>
      <w:r>
        <w:t xml:space="preserve">09 [x] Proof metrics chosen (JUMPSTART completion and conversion rates) match the funder’s stated priority area</w:t>
      </w:r>
      <w:r>
        <w:t xml:space="preserve"> </w:t>
      </w:r>
      <w:r>
        <w:t xml:space="preserve">10 [x] All dates valid and inside the project period</w:t>
      </w:r>
      <w:r>
        <w:t xml:space="preserve"> </w:t>
      </w:r>
      <w:r>
        <w:t xml:space="preserve">11 [ ] Attachments not yet assembled — see Open Items below</w:t>
      </w:r>
      <w:r>
        <w:t xml:space="preserve"> </w:t>
      </w:r>
      <w:r>
        <w:t xml:space="preserve">12 [ ] Darius Baxter has not yet signed; route through Neo first</w:t>
      </w:r>
      <w:r>
        <w:t xml:space="preserve"> </w:t>
      </w:r>
      <w:r>
        <w:t xml:space="preserve">13 [x] Humanize pass completed (no em or en dashes, no significance inflation, no vague attributions, no chatbot framing)</w:t>
      </w:r>
      <w:r>
        <w:t xml:space="preserve"> </w:t>
      </w:r>
      <w:r>
        <w:t xml:space="preserve">14 [ ] PDF not yet produced — generate after Neo’s review and any edits</w:t>
      </w:r>
    </w:p>
    <w:p>
      <w:r>
        <w:pict>
          <v:rect style="width:0;height:1.5pt" o:hralign="center" o:hrstd="t" o:hr="t"/>
        </w:pict>
      </w:r>
    </w:p>
    <w:bookmarkEnd w:id="34"/>
    <w:bookmarkStart w:id="35" w:name="open-items-before-this-can-be-submitted"/>
    <w:p>
      <w:pPr>
        <w:pStyle w:val="Heading2"/>
      </w:pPr>
      <w:r>
        <w:t xml:space="preserve">OPEN ITEMS BEFORE THIS CAN BE SUBMITTED</w:t>
      </w:r>
    </w:p>
    <w:p>
      <w:pPr>
        <w:numPr>
          <w:ilvl w:val="0"/>
          <w:numId w:val="1001"/>
        </w:numPr>
        <w:pStyle w:val="Compact"/>
      </w:pPr>
      <w:r>
        <w:rPr>
          <w:bCs/>
          <w:b/>
        </w:rPr>
        <w:t xml:space="preserve">Send the introductory email first.</w:t>
      </w:r>
      <w:r>
        <w:t xml:space="preserve"> </w:t>
      </w:r>
      <w:r>
        <w:t xml:space="preserve">Corning does not accept unsolicited applications. Someone (Neo or Darius) needs to email philanthropy@corning.com, introduce GOODProjects, share the 996 Maine Avenue SW address, and ask whether the DC Government Affairs office or the Herndon, VA Optical Communications office qualifies as a 50-employee-plus business location. This draft should only go out if and when Corning invites a full application.</w:t>
      </w:r>
    </w:p>
    <w:p>
      <w:pPr>
        <w:numPr>
          <w:ilvl w:val="0"/>
          <w:numId w:val="1001"/>
        </w:numPr>
        <w:pStyle w:val="Compact"/>
      </w:pPr>
      <w:r>
        <w:rPr>
          <w:bCs/>
          <w:b/>
        </w:rPr>
        <w:t xml:space="preserve">Confirm indirect cost allowability</w:t>
      </w:r>
      <w:r>
        <w:t xml:space="preserve"> </w:t>
      </w:r>
      <w:r>
        <w:t xml:space="preserve">with Cole before submission.</w:t>
      </w:r>
    </w:p>
    <w:p>
      <w:pPr>
        <w:numPr>
          <w:ilvl w:val="0"/>
          <w:numId w:val="1001"/>
        </w:numPr>
        <w:pStyle w:val="Compact"/>
      </w:pPr>
      <w:r>
        <w:rPr>
          <w:bCs/>
          <w:b/>
        </w:rPr>
        <w:t xml:space="preserve">Route to Neo for go/no-go</w:t>
      </w:r>
      <w:r>
        <w:t xml:space="preserve">, per standard workflow, once Corning responds to the introductory email.</w:t>
      </w:r>
    </w:p>
    <w:p>
      <w:pPr>
        <w:numPr>
          <w:ilvl w:val="0"/>
          <w:numId w:val="1001"/>
        </w:numPr>
        <w:pStyle w:val="Compact"/>
      </w:pPr>
      <w:r>
        <w:rPr>
          <w:bCs/>
          <w:b/>
        </w:rPr>
        <w:t xml:space="preserve">Assemble attachments</w:t>
      </w:r>
      <w:r>
        <w:t xml:space="preserve"> </w:t>
      </w:r>
      <w:r>
        <w:t xml:space="preserve">once the application format is confirmed: likely 501(c)(3) determination letter, W-9, and Certificate of Good Standing, all on file in</w:t>
      </w:r>
      <w:r>
        <w:t xml:space="preserve"> </w:t>
      </w:r>
      <w:r>
        <w:rPr>
          <w:rStyle w:val="VerbatimChar"/>
        </w:rPr>
        <w:t xml:space="preserve">app/compliance/</w:t>
      </w:r>
      <w:r>
        <w:t xml:space="preserve">.</w:t>
      </w:r>
    </w:p>
    <w:p>
      <w:r>
        <w:pict>
          <v:rect style="width:0;height:1.5pt" o:hralign="center" o:hrstd="t" o:hr="t"/>
        </w:pict>
      </w:r>
    </w:p>
    <w:p>
      <w:pPr>
        <w:pStyle w:val="FirstParagraph"/>
      </w:pPr>
      <w:r>
        <w:t xml:space="preserve">GOODProjects, Inc. | 996 Maine Avenue SW, Suite 208, Washington, DC 20024 | EIN 81-1491594 | grants@goodprojects.org</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2026-07-14T17:54:48Z</dcterms:created>
  <dcterms:modified xsi:type="dcterms:W3CDTF">2026-07-14T17:54:48Z</dcterms:modified>
</cp:coreProperties>
</file>

<file path=docProps/custom.xml><?xml version="1.0" encoding="utf-8"?>
<Properties xmlns="http://schemas.openxmlformats.org/officeDocument/2006/custom-properties" xmlns:vt="http://schemas.openxmlformats.org/officeDocument/2006/docPropsVTypes"/>
</file>