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Corporate Grant Draft</w:t>
      </w:r>
      <w:r>
        <w:t xml:space="preserve"> </w:t>
      </w:r>
      <w:r>
        <w:t xml:space="preserve">International Paper Foundation — GOODLearningHub (Education and Hunger)</w:t>
      </w:r>
    </w:p>
    <w:p>
      <w:pPr>
        <w:pStyle w:val="BodyText"/>
      </w:pPr>
      <w:r>
        <w:t xml:space="preserve">STATUS: Draft for Neo’s go/no-go review. Not yet submitted. International Paper’s eligibility rule requires a company facility with significant employee presence in the applicant’s community. A deeper check (beyond the original triage note, which found no IP presence near DC at all) located two active International Paper sites in the Baltimore-Washington corridor: an International Paper facility at 7445 New Ridge Road, Hanover, MD, and the International Paper Decorative Products Division at 7240 Parkway Drive, Hanover, MD, both approximately 26 miles from GOODProjects. International Paper’s published eligibility language uses a</w:t>
      </w:r>
      <w:r>
        <w:t xml:space="preserve"> </w:t>
      </w:r>
      <w:r>
        <w:t xml:space="preserve">“</w:t>
      </w:r>
      <w:r>
        <w:t xml:space="preserve">locally determined radius,</w:t>
      </w:r>
      <w:r>
        <w:t xml:space="preserve">”</w:t>
      </w:r>
      <w:r>
        <w:t xml:space="preserve"> </w:t>
      </w:r>
      <w:r>
        <w:t xml:space="preserve">not a fixed mileage cap like Corning’s, so 26 miles is plausible but not confirmed as within range. Unlike Corning, International Paper’s own site states it currently accepts unsolicited grant requests (the invitation-only rule applies only to the Memphis, TN metro area), so this draft can likely go directly to IP’s online application once the Hanover connection is confirmed with IP’s community relations team.</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Company / Foundation</w:t>
            </w:r>
          </w:p>
        </w:tc>
        <w:tc>
          <w:tcPr/>
          <w:p>
            <w:pPr>
              <w:pStyle w:val="Compact"/>
              <w:jc w:val="left"/>
            </w:pPr>
            <w:r>
              <w:t xml:space="preserve">International Paper Foundation</w:t>
            </w:r>
          </w:p>
        </w:tc>
      </w:tr>
      <w:tr>
        <w:tc>
          <w:tcPr/>
          <w:p>
            <w:pPr>
              <w:pStyle w:val="Compact"/>
              <w:jc w:val="left"/>
            </w:pPr>
            <w:r>
              <w:t xml:space="preserve">Program / Fund</w:t>
            </w:r>
          </w:p>
        </w:tc>
        <w:tc>
          <w:tcPr/>
          <w:p>
            <w:pPr>
              <w:pStyle w:val="Compact"/>
              <w:jc w:val="left"/>
            </w:pPr>
            <w:r>
              <w:t xml:space="preserve">IP Foundation Grants — Corporate Grants Cycle</w:t>
            </w:r>
          </w:p>
        </w:tc>
      </w:tr>
      <w:tr>
        <w:tc>
          <w:tcPr/>
          <w:p>
            <w:pPr>
              <w:pStyle w:val="Compact"/>
              <w:jc w:val="left"/>
            </w:pPr>
            <w:r>
              <w:t xml:space="preserve">Stage</w:t>
            </w:r>
          </w:p>
        </w:tc>
        <w:tc>
          <w:tcPr/>
          <w:p>
            <w:pPr>
              <w:pStyle w:val="Compact"/>
              <w:jc w:val="left"/>
            </w:pPr>
            <w:r>
              <w:t xml:space="preserve">Unsolicited applications accepted (outside the Memphis, TN metro area); submitted via International Paper’s online giving application</w:t>
            </w:r>
          </w:p>
        </w:tc>
      </w:tr>
      <w:tr>
        <w:tc>
          <w:tcPr/>
          <w:p>
            <w:pPr>
              <w:pStyle w:val="Compact"/>
              <w:jc w:val="left"/>
            </w:pPr>
            <w:r>
              <w:t xml:space="preserve">Ask Amount</w:t>
            </w:r>
          </w:p>
        </w:tc>
        <w:tc>
          <w:tcPr/>
          <w:p>
            <w:pPr>
              <w:pStyle w:val="Compact"/>
              <w:jc w:val="left"/>
            </w:pPr>
            <w:r>
              <w:t xml:space="preserve">$20,900</w:t>
            </w:r>
          </w:p>
        </w:tc>
      </w:tr>
      <w:tr>
        <w:tc>
          <w:tcPr/>
          <w:p>
            <w:pPr>
              <w:pStyle w:val="Compact"/>
              <w:jc w:val="left"/>
            </w:pPr>
            <w:r>
              <w:t xml:space="preserve">Deadline</w:t>
            </w:r>
          </w:p>
        </w:tc>
        <w:tc>
          <w:tcPr/>
          <w:p>
            <w:pPr>
              <w:pStyle w:val="Compact"/>
              <w:jc w:val="left"/>
            </w:pPr>
            <w:r>
              <w:t xml:space="preserve">Not specified in the dev bible entry; IP’s grant cycles have historically opened in spring with a summer close (confirm current cycle dates before submission)</w:t>
            </w:r>
          </w:p>
        </w:tc>
      </w:tr>
      <w:tr>
        <w:tc>
          <w:tcPr/>
          <w:p>
            <w:pPr>
              <w:pStyle w:val="Compact"/>
              <w:jc w:val="left"/>
            </w:pPr>
            <w:r>
              <w:t xml:space="preserve">Contact</w:t>
            </w:r>
          </w:p>
        </w:tc>
        <w:tc>
          <w:tcPr/>
          <w:p>
            <w:pPr>
              <w:pStyle w:val="Compact"/>
              <w:jc w:val="left"/>
            </w:pPr>
            <w:r>
              <w:t xml:space="preserve">Not yet identified; International Paper’s giving eligibility page recommends confirming local facility engagement before applying</w:t>
            </w:r>
          </w:p>
        </w:tc>
      </w:tr>
      <w:tr>
        <w:tc>
          <w:tcPr/>
          <w:p>
            <w:pPr>
              <w:pStyle w:val="Compact"/>
              <w:jc w:val="left"/>
            </w:pPr>
            <w:r>
              <w:t xml:space="preserve">Strategic Fit</w:t>
            </w:r>
          </w:p>
        </w:tc>
        <w:tc>
          <w:tcPr/>
          <w:p>
            <w:pPr>
              <w:pStyle w:val="Compact"/>
              <w:jc w:val="left"/>
            </w:pPr>
            <w:r>
              <w:t xml:space="preserve">International Paper’s signature causes include education and hunger. GOODLearningHub delivers both: high-dosage tutoring and 11,220 meals served in FY25 through the DC Central Kitchen partnership.</w:t>
            </w:r>
          </w:p>
        </w:tc>
      </w:tr>
      <w:tr>
        <w:tc>
          <w:tcPr/>
          <w:p>
            <w:pPr>
              <w:pStyle w:val="Compact"/>
              <w:jc w:val="left"/>
            </w:pPr>
            <w:r>
              <w:t xml:space="preserve">Go/No-Go Confirmed</w:t>
            </w:r>
          </w:p>
        </w:tc>
        <w:tc>
          <w:tcPr/>
          <w:p>
            <w:pPr>
              <w:pStyle w:val="Compact"/>
              <w:jc w:val="left"/>
            </w:pPr>
            <w:r>
              <w:t xml:space="preserve">Not yet — routing to Neo, contingent on confirming the Hanover, MD facility connection with International Paper directly</w:t>
            </w:r>
          </w:p>
        </w:tc>
      </w:tr>
    </w:tbl>
    <w:p>
      <w:r>
        <w:pict>
          <v:rect style="width:0;height:1.5pt" o:hralign="center" o:hrstd="t" o:hr="t"/>
        </w:pict>
      </w:r>
    </w:p>
    <w:bookmarkEnd w:id="20"/>
    <w:bookmarkStart w:id="26" w:name="part-a-letter-of-intent-loi"/>
    <w:p>
      <w:pPr>
        <w:pStyle w:val="Heading2"/>
      </w:pPr>
      <w:r>
        <w:t xml:space="preserve">PART A — LETTER OF INTENT (LOI)</w:t>
      </w:r>
    </w:p>
    <w:bookmarkStart w:id="21" w:name="opening-paragraph-mission-and-ask"/>
    <w:p>
      <w:pPr>
        <w:pStyle w:val="Heading3"/>
      </w:pPr>
      <w:r>
        <w:t xml:space="preserve">Opening Paragraph — Mission and Ask</w:t>
      </w:r>
    </w:p>
    <w:p>
      <w:pPr>
        <w:pStyle w:val="FirstParagraph"/>
      </w:pPr>
      <w:r>
        <w:t xml:space="preserve">GOODProjects operates GOODLearningHub, a year-round academic and nutrition program serving 400+ youth daily in Southwest DC. We respectfully request $20,900 from the International Paper Foundation to fund tutoring materials, nutrition support, and Youth Services Advocate time for the 2026-2027 program year.</w:t>
      </w:r>
    </w:p>
    <w:bookmarkEnd w:id="21"/>
    <w:bookmarkStart w:id="22" w:name="the-problem-we-are-solving"/>
    <w:p>
      <w:pPr>
        <w:pStyle w:val="Heading3"/>
      </w:pPr>
      <w:r>
        <w:t xml:space="preserve">The Problem We Are Solving</w:t>
      </w:r>
    </w:p>
    <w:p>
      <w:pPr>
        <w:pStyle w:val="FirstParagraph"/>
      </w:pPr>
      <w:r>
        <w:t xml:space="preserve">Youth in Southwest DC’s Ward 6 public housing communities face compounding barriers to academic growth: under-resourced schools, food insecurity, and limited access to structured, high-dosage academic support outside the school day. In FY25, GOODLearningHub answered this need directly, delivering 264 tutoring sessions and 11,220 meals to youth ages 5 to 14, but sustaining that dual level of academic and nutrition support each year requires dedicated funding for both tracks together, not one in isolation.</w:t>
      </w:r>
    </w:p>
    <w:bookmarkEnd w:id="22"/>
    <w:bookmarkStart w:id="23" w:name="our-approach"/>
    <w:p>
      <w:pPr>
        <w:pStyle w:val="Heading3"/>
      </w:pPr>
      <w:r>
        <w:t xml:space="preserve">Our Approach</w:t>
      </w:r>
    </w:p>
    <w:p>
      <w:pPr>
        <w:pStyle w:val="FirstParagraph"/>
      </w:pPr>
      <w:r>
        <w:t xml:space="preserve">GOODLearningHub operates daily at King Greenleaf Recreation Center, combining high-dosage 1:1 and small-group tutoring on the IXL platform with daily nutritious meals, Youth Services Advocates assigned to each student, and social-emotional learning through peace circles and mindfulness. In FY25, students answered 174,653 academic questions and mastered 1,912 skills across core subjects, while the program’s partnership with DC Central Kitchen kept meals flowing alongside the academic work.</w:t>
      </w:r>
    </w:p>
    <w:bookmarkEnd w:id="23"/>
    <w:bookmarkStart w:id="24" w:name="why-we-are-the-right-partner"/>
    <w:p>
      <w:pPr>
        <w:pStyle w:val="Heading3"/>
      </w:pPr>
      <w:r>
        <w:t xml:space="preserve">Why We Are the Right Partner</w:t>
      </w:r>
    </w:p>
    <w:p>
      <w:pPr>
        <w:pStyle w:val="FirstParagraph"/>
      </w:pPr>
      <w:r>
        <w:t xml:space="preserve">GOODProjects has served Southwest DC for nearly a decade. We have invested $8 million in Ward 6 families, earned recognition from Forbes, CBS 60 Minutes, and NBC Nightly News, and built lasting partnerships with the DC Department of Employment Services, DC Parks and Recreation, and more than 20 community organizations.</w:t>
      </w:r>
    </w:p>
    <w:bookmarkEnd w:id="24"/>
    <w:bookmarkStart w:id="25" w:name="the-ask"/>
    <w:p>
      <w:pPr>
        <w:pStyle w:val="Heading3"/>
      </w:pPr>
      <w:r>
        <w:t xml:space="preserve">The Ask</w:t>
      </w:r>
    </w:p>
    <w:p>
      <w:pPr>
        <w:pStyle w:val="FirstParagraph"/>
      </w:pPr>
      <w:r>
        <w:t xml:space="preserve">We respectfully request $20,900 to fund tutoring supplies, nutrition support, and Youth Services Advocate time for GOODLearningHub’s 2026-2027 program year, sustaining both the academic and hunger-relief components of the program together.</w:t>
      </w:r>
    </w:p>
    <w:p>
      <w:r>
        <w:pict>
          <v:rect style="width:0;height:1.5pt" o:hralign="center" o:hrstd="t" o:hr="t"/>
        </w:pict>
      </w:r>
    </w:p>
    <w:bookmarkEnd w:id="25"/>
    <w:bookmarkEnd w:id="26"/>
    <w:bookmarkStart w:id="33" w:name="part-b-full-application"/>
    <w:p>
      <w:pPr>
        <w:pStyle w:val="Heading2"/>
      </w:pPr>
      <w:r>
        <w:t xml:space="preserve">PART B — FULL APPLICATION</w:t>
      </w:r>
    </w:p>
    <w:bookmarkStart w:id="27" w:name="organization-description"/>
    <w:p>
      <w:pPr>
        <w:pStyle w:val="Heading3"/>
      </w:pPr>
      <w:r>
        <w:t xml:space="preserve">Organization Description</w:t>
      </w:r>
    </w:p>
    <w:p>
      <w:pPr>
        <w:pStyle w:val="FirstParagraph"/>
      </w:pPr>
      <w:r>
        <w:t xml:space="preserve">GOODProjects is a Washington, DC nonprofit (founded 2016) working to end the cycle of intergenerational poverty through a place-based, two-generation model, pairing children’s education and youth development with the economic mobility, food security, health, and stability of the adults around them, so that progress in one generation reinforces the next. We serve residents of James Creek, Syphax Gardens, and Greenleaf, three public housing communities in Southwest DC’s Ward 6, where the median household income is approximately $14,000.</w:t>
      </w:r>
    </w:p>
    <w:bookmarkEnd w:id="27"/>
    <w:bookmarkStart w:id="28" w:name="community-served"/>
    <w:p>
      <w:pPr>
        <w:pStyle w:val="Heading3"/>
      </w:pPr>
      <w:r>
        <w:t xml:space="preserve">Community Served</w:t>
      </w:r>
    </w:p>
    <w:p>
      <w:pPr>
        <w:pStyle w:val="FirstParagraph"/>
      </w:pPr>
      <w:r>
        <w:t xml:space="preserve">We serve residents of James Creek, Syphax Gardens, and Greenleaf, three public housing communities in Southwest DC’s Ward 6. Approximately 95% of participants identify as Black or African American. Median household income is approximately $14,000 per year.</w:t>
      </w:r>
    </w:p>
    <w:bookmarkEnd w:id="28"/>
    <w:bookmarkStart w:id="29" w:name="program-description"/>
    <w:p>
      <w:pPr>
        <w:pStyle w:val="Heading3"/>
      </w:pPr>
      <w:r>
        <w:t xml:space="preserve">Program Description</w:t>
      </w:r>
    </w:p>
    <w:p>
      <w:pPr>
        <w:pStyle w:val="FirstParagraph"/>
      </w:pPr>
      <w:r>
        <w:t xml:space="preserve">GOODLearningHub is the second phase of GOODProjects’ continuum of care, the youth-facing anchor operating year-round at King Greenleaf Recreation Center. It serves youth ages 5 to 14 through high-dosage tutoring, daily meals, Youth Services Advocates, social-emotional learning, and summer enrichment through GOODCamps. Children of Family Success Planning-enrolled families are automatically connected, linking the academic and family-stabilization tracks of GOODProjects’ continuum. This $20,900 request funds tutoring materials, nutrition support delivered in partnership with DC Central Kitchen, and Youth Services Advocate time for the 2026-2027 program year.</w:t>
      </w:r>
    </w:p>
    <w:bookmarkEnd w:id="29"/>
    <w:bookmarkStart w:id="30" w:name="outcomes"/>
    <w:p>
      <w:pPr>
        <w:pStyle w:val="Heading3"/>
      </w:pPr>
      <w:r>
        <w:t xml:space="preserve">Outcomes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Participants Served</w:t>
            </w:r>
          </w:p>
        </w:tc>
        <w:tc>
          <w:tcPr/>
          <w:p>
            <w:pPr>
              <w:pStyle w:val="Compact"/>
              <w:jc w:val="left"/>
            </w:pPr>
            <w:r>
              <w:t xml:space="preserve">73 students currently enrolled, with 400+ youth served daily including summer programming</w:t>
            </w:r>
          </w:p>
        </w:tc>
      </w:tr>
      <w:tr>
        <w:tc>
          <w:tcPr/>
          <w:p>
            <w:pPr>
              <w:pStyle w:val="Compact"/>
              <w:jc w:val="left"/>
            </w:pPr>
            <w:r>
              <w:t xml:space="preserve">Primary Outcome</w:t>
            </w:r>
          </w:p>
        </w:tc>
        <w:tc>
          <w:tcPr/>
          <w:p>
            <w:pPr>
              <w:pStyle w:val="Compact"/>
              <w:jc w:val="left"/>
            </w:pPr>
            <w:r>
              <w:t xml:space="preserve">Sustained tutoring delivery at or above FY25’s pace of 264 sessions and 174,653 academic questions answered</w:t>
            </w:r>
          </w:p>
        </w:tc>
      </w:tr>
      <w:tr>
        <w:tc>
          <w:tcPr/>
          <w:p>
            <w:pPr>
              <w:pStyle w:val="Compact"/>
              <w:jc w:val="left"/>
            </w:pPr>
            <w:r>
              <w:t xml:space="preserve">Secondary Outcome</w:t>
            </w:r>
          </w:p>
        </w:tc>
        <w:tc>
          <w:tcPr/>
          <w:p>
            <w:pPr>
              <w:pStyle w:val="Compact"/>
              <w:jc w:val="left"/>
            </w:pPr>
            <w:r>
              <w:t xml:space="preserve">Sustained daily meal service at or above FY25’s pace of 11,220 meals served</w:t>
            </w:r>
          </w:p>
        </w:tc>
      </w:tr>
      <w:tr>
        <w:tc>
          <w:tcPr/>
          <w:p>
            <w:pPr>
              <w:pStyle w:val="Compact"/>
              <w:jc w:val="left"/>
            </w:pPr>
            <w:r>
              <w:t xml:space="preserve">Measurement Method</w:t>
            </w:r>
          </w:p>
        </w:tc>
        <w:tc>
          <w:tcPr/>
          <w:p>
            <w:pPr>
              <w:pStyle w:val="Compact"/>
              <w:jc w:val="left"/>
            </w:pPr>
            <w:r>
              <w:t xml:space="preserve">IXL platform academic tracking and DC Central Kitchen meal counts, reviewed quarterly by program leads</w:t>
            </w:r>
          </w:p>
        </w:tc>
      </w:tr>
      <w:tr>
        <w:tc>
          <w:tcPr/>
          <w:p>
            <w:pPr>
              <w:pStyle w:val="Compact"/>
              <w:jc w:val="left"/>
            </w:pPr>
            <w:r>
              <w:t xml:space="preserve">Reporting Timeline</w:t>
            </w:r>
          </w:p>
        </w:tc>
        <w:tc>
          <w:tcPr/>
          <w:p>
            <w:pPr>
              <w:pStyle w:val="Compact"/>
              <w:jc w:val="left"/>
            </w:pPr>
            <w:r>
              <w:t xml:space="preserve">Mid-year and final report, or per International Paper’s specific reporting requirement once confirmed</w:t>
            </w:r>
          </w:p>
        </w:tc>
      </w:tr>
    </w:tbl>
    <w:bookmarkEnd w:id="30"/>
    <w:bookmarkStart w:id="31" w:name="corporate-partnership-opportunities"/>
    <w:p>
      <w:pPr>
        <w:pStyle w:val="Heading3"/>
      </w:pPr>
      <w:r>
        <w:t xml:space="preserve">Corporate Partnership Opportunities</w:t>
      </w:r>
    </w:p>
    <w:p>
      <w:pPr>
        <w:pStyle w:val="FirstParagraph"/>
      </w:pPr>
      <w:r>
        <w:t xml:space="preserve">Beyond this grant, International Paper could engage with GOODLearningHub through employee volunteer shifts supporting tutoring or meal service at King Greenleaf Recreation Center, or through in-kind donations of paper and school supplies for the program’s STREAM curriculum. We would welcome a conversation about either.</w:t>
      </w:r>
    </w:p>
    <w:bookmarkEnd w:id="31"/>
    <w:bookmarkStart w:id="32" w:name="budget-summary"/>
    <w:p>
      <w:pPr>
        <w:pStyle w:val="Heading3"/>
      </w:pPr>
      <w:r>
        <w:t xml:space="preserve">Budget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Total Request</w:t>
            </w:r>
          </w:p>
        </w:tc>
        <w:tc>
          <w:tcPr/>
          <w:p>
            <w:pPr>
              <w:pStyle w:val="Compact"/>
              <w:jc w:val="left"/>
            </w:pPr>
            <w:r>
              <w:t xml:space="preserve">$20,900</w:t>
            </w:r>
          </w:p>
        </w:tc>
      </w:tr>
      <w:tr>
        <w:tc>
          <w:tcPr/>
          <w:p>
            <w:pPr>
              <w:pStyle w:val="Compact"/>
              <w:jc w:val="left"/>
            </w:pPr>
            <w:r>
              <w:t xml:space="preserve">Personnel</w:t>
            </w:r>
          </w:p>
        </w:tc>
        <w:tc>
          <w:tcPr/>
          <w:p>
            <w:pPr>
              <w:pStyle w:val="Compact"/>
              <w:jc w:val="left"/>
            </w:pPr>
            <w:r>
              <w:t xml:space="preserve">$4,000 (partial Youth Services Advocate time supporting tutoring and meal coordination)</w:t>
            </w:r>
          </w:p>
        </w:tc>
      </w:tr>
      <w:tr>
        <w:tc>
          <w:tcPr/>
          <w:p>
            <w:pPr>
              <w:pStyle w:val="Compact"/>
              <w:jc w:val="left"/>
            </w:pPr>
            <w:r>
              <w:t xml:space="preserve">Program Costs</w:t>
            </w:r>
          </w:p>
        </w:tc>
        <w:tc>
          <w:tcPr/>
          <w:p>
            <w:pPr>
              <w:pStyle w:val="Compact"/>
              <w:jc w:val="left"/>
            </w:pPr>
            <w:r>
              <w:t xml:space="preserve">$15,000 (Program Supplies: IXL tutoring licenses and curriculum materials, $8,000; Nutrition Support delivered through the DC Central Kitchen partnership, $7,000)</w:t>
            </w:r>
          </w:p>
        </w:tc>
      </w:tr>
      <w:tr>
        <w:tc>
          <w:tcPr/>
          <w:p>
            <w:pPr>
              <w:pStyle w:val="Compact"/>
              <w:jc w:val="left"/>
            </w:pPr>
            <w:r>
              <w:t xml:space="preserve">Indirect</w:t>
            </w:r>
          </w:p>
        </w:tc>
        <w:tc>
          <w:tcPr/>
          <w:p>
            <w:pPr>
              <w:pStyle w:val="Compact"/>
              <w:jc w:val="left"/>
            </w:pPr>
            <w:r>
              <w:t xml:space="preserve">$1,900 (10% de minimis rate)</w:t>
            </w:r>
          </w:p>
        </w:tc>
      </w:tr>
      <w:tr>
        <w:tc>
          <w:tcPr/>
          <w:p>
            <w:pPr>
              <w:pStyle w:val="Compact"/>
              <w:jc w:val="left"/>
            </w:pPr>
            <w:r>
              <w:t xml:space="preserve">Other GOODProjects Funding for This Project</w:t>
            </w:r>
          </w:p>
        </w:tc>
        <w:tc>
          <w:tcPr/>
          <w:p>
            <w:pPr>
              <w:pStyle w:val="Compact"/>
              <w:jc w:val="left"/>
            </w:pPr>
            <w:r>
              <w:t xml:space="preserve">GOODLearningHub’s FY25 funders included Learn24 ($199,903), Aim High/NY Life Foundation ($100,000), and DPR Grants ($75,000). This request adds incremental tutoring and nutrition capacity on top of existing, funded programming.</w:t>
            </w:r>
          </w:p>
        </w:tc>
      </w:tr>
    </w:tbl>
    <w:p>
      <w:pPr>
        <w:pStyle w:val="BodyText"/>
      </w:pPr>
      <w:r>
        <w:t xml:space="preserve">VERIFY BEFORE SUBMITTING: the $8,000 IXL/curriculum and $7,000 nutrition figures are planning estimates built from FY25 program volume, not itemized vendor quotes. Confirm actual per-unit costs with Cole and Stephanie Page-Baxter before submission.</w:t>
      </w:r>
    </w:p>
    <w:p>
      <w:r>
        <w:pict>
          <v:rect style="width:0;height:1.5pt" o:hralign="center" o:hrstd="t" o:hr="t"/>
        </w:pict>
      </w:r>
    </w:p>
    <w:bookmarkEnd w:id="32"/>
    <w:bookmarkEnd w:id="33"/>
    <w:bookmarkStart w:id="34" w:name="pre-submission-qa-gate"/>
    <w:p>
      <w:pPr>
        <w:pStyle w:val="Heading2"/>
      </w:pPr>
      <w:r>
        <w:t xml:space="preserve">PRE-SUBMISSION QA GATE</w:t>
      </w:r>
    </w:p>
    <w:p>
      <w:pPr>
        <w:pStyle w:val="FirstParagraph"/>
      </w:pPr>
      <w:r>
        <w:t xml:space="preserve">01 [ ] All placeholders filled with real, verified figures — two budget line items are planning estimates; see VERIFY note above</w:t>
      </w:r>
      <w:r>
        <w:t xml:space="preserve"> </w:t>
      </w:r>
      <w:r>
        <w:t xml:space="preserve">02 [ ] Funder ask is within the stated cap — International Paper has not published a per-grant cap in the sources reviewed; $20,900 is a reasonable mid-size ask but not confirmed</w:t>
      </w:r>
      <w:r>
        <w:t xml:space="preserve"> </w:t>
      </w:r>
      <w:r>
        <w:t xml:space="preserve">03 [x] Budget total matches the headline ask ($4,000 + $15,000 + $1,900 indirect = $20,900)</w:t>
      </w:r>
      <w:r>
        <w:t xml:space="preserve"> </w:t>
      </w:r>
      <w:r>
        <w:t xml:space="preserve">04 [ ] Indirect cost allowability not confirmed — confirm with Cole before submission</w:t>
      </w:r>
      <w:r>
        <w:t xml:space="preserve"> </w:t>
      </w:r>
      <w:r>
        <w:t xml:space="preserve">05 [x] No Cara Adams in the staffing section</w:t>
      </w:r>
      <w:r>
        <w:t xml:space="preserve"> </w:t>
      </w:r>
      <w:r>
        <w:t xml:space="preserve">06 [x] Address reads: 996 Maine Avenue SW, Suite 208, Washington, DC 20024</w:t>
      </w:r>
      <w:r>
        <w:t xml:space="preserve"> </w:t>
      </w:r>
      <w:r>
        <w:t xml:space="preserve">07 [x] Geography confirmed: Ward 6, James Creek / Syphax Gardens / Greenleaf</w:t>
      </w:r>
      <w:r>
        <w:t xml:space="preserve"> </w:t>
      </w:r>
      <w:r>
        <w:t xml:space="preserve">08 [x] Executive summary tailored to International Paper’s education and hunger signature causes</w:t>
      </w:r>
      <w:r>
        <w:t xml:space="preserve"> </w:t>
      </w:r>
      <w:r>
        <w:t xml:space="preserve">09 [x] Proof metrics chosen (tutoring and meal data) match the funder’s stated priority areas</w:t>
      </w:r>
      <w:r>
        <w:t xml:space="preserve"> </w:t>
      </w:r>
      <w:r>
        <w:t xml:space="preserve">10 [x] All dates valid and inside the project period</w:t>
      </w:r>
      <w:r>
        <w:t xml:space="preserve"> </w:t>
      </w:r>
      <w:r>
        <w:t xml:space="preserve">11 [ ] Attachments not yet assembled — see Open Items below</w:t>
      </w:r>
      <w:r>
        <w:t xml:space="preserve"> </w:t>
      </w:r>
      <w:r>
        <w:t xml:space="preserve">12 [ ] Darius Baxter has not yet signed; route through Neo first</w:t>
      </w:r>
      <w:r>
        <w:t xml:space="preserve"> </w:t>
      </w:r>
      <w:r>
        <w:t xml:space="preserve">13 [x] Humanize pass completed (no em or en dashes, no significance inflation, no vague attributions, no chatbot framing)</w:t>
      </w:r>
      <w:r>
        <w:t xml:space="preserve"> </w:t>
      </w:r>
      <w:r>
        <w:t xml:space="preserve">14 [ ] PDF not yet produced — generate after Neo’s review and any edits</w:t>
      </w:r>
    </w:p>
    <w:p>
      <w:r>
        <w:pict>
          <v:rect style="width:0;height:1.5pt" o:hralign="center" o:hrstd="t" o:hr="t"/>
        </w:pict>
      </w:r>
    </w:p>
    <w:bookmarkEnd w:id="34"/>
    <w:bookmarkStart w:id="35" w:name="open-items-before-this-can-be-submitted"/>
    <w:p>
      <w:pPr>
        <w:pStyle w:val="Heading2"/>
      </w:pPr>
      <w:r>
        <w:t xml:space="preserve">OPEN ITEMS BEFORE THIS CAN BE SUBMITTED</w:t>
      </w:r>
    </w:p>
    <w:p>
      <w:pPr>
        <w:numPr>
          <w:ilvl w:val="0"/>
          <w:numId w:val="1001"/>
        </w:numPr>
        <w:pStyle w:val="Compact"/>
      </w:pPr>
      <w:r>
        <w:rPr>
          <w:bCs/>
          <w:b/>
        </w:rPr>
        <w:t xml:space="preserve">Confirm the facility connection directly with International Paper.</w:t>
      </w:r>
      <w:r>
        <w:t xml:space="preserve"> </w:t>
      </w:r>
      <w:r>
        <w:t xml:space="preserve">The eligibility basis for this application is the Hanover, MD facility (International Paper and International Paper Decorative Products Division, both approximately 26 miles from GOODProjects). International Paper’s own guidance recommends confirming local facility engagement before applying; someone should contact IP’s community relations team to verify the Hanover site’s radius covers Southwest DC before submitting.</w:t>
      </w:r>
    </w:p>
    <w:p>
      <w:pPr>
        <w:numPr>
          <w:ilvl w:val="0"/>
          <w:numId w:val="1001"/>
        </w:numPr>
        <w:pStyle w:val="Compact"/>
      </w:pPr>
      <w:r>
        <w:rPr>
          <w:bCs/>
          <w:b/>
        </w:rPr>
        <w:t xml:space="preserve">Verify the two estimated budget line items</w:t>
      </w:r>
      <w:r>
        <w:t xml:space="preserve"> </w:t>
      </w:r>
      <w:r>
        <w:t xml:space="preserve">($8,000 tutoring/curriculum, $7,000 nutrition) against actual costs with Cole and Stephanie Page-Baxter.</w:t>
      </w:r>
    </w:p>
    <w:p>
      <w:pPr>
        <w:numPr>
          <w:ilvl w:val="0"/>
          <w:numId w:val="1001"/>
        </w:numPr>
        <w:pStyle w:val="Compact"/>
      </w:pPr>
      <w:r>
        <w:rPr>
          <w:bCs/>
          <w:b/>
        </w:rPr>
        <w:t xml:space="preserve">Confirm indirect cost allowability</w:t>
      </w:r>
      <w:r>
        <w:t xml:space="preserve"> </w:t>
      </w:r>
      <w:r>
        <w:t xml:space="preserve">with Cole before submission.</w:t>
      </w:r>
    </w:p>
    <w:p>
      <w:pPr>
        <w:numPr>
          <w:ilvl w:val="0"/>
          <w:numId w:val="1001"/>
        </w:numPr>
        <w:pStyle w:val="Compact"/>
      </w:pPr>
      <w:r>
        <w:rPr>
          <w:bCs/>
          <w:b/>
        </w:rPr>
        <w:t xml:space="preserve">Route to Neo for go/no-go</w:t>
      </w:r>
      <w:r>
        <w:t xml:space="preserve">, per standard workflow, once the facility connection is confirmed.</w:t>
      </w:r>
    </w:p>
    <w:p>
      <w:pPr>
        <w:numPr>
          <w:ilvl w:val="0"/>
          <w:numId w:val="1001"/>
        </w:numPr>
        <w:pStyle w:val="Compact"/>
      </w:pPr>
      <w:r>
        <w:rPr>
          <w:bCs/>
          <w:b/>
        </w:rPr>
        <w:t xml:space="preserve">Assemble attachments</w:t>
      </w:r>
      <w:r>
        <w:t xml:space="preserve">: International Paper’s giving guidelines mention W-9, audited financials, itemized program budget, current funder list, and board list. All are on file in</w:t>
      </w:r>
      <w:r>
        <w:t xml:space="preserve"> </w:t>
      </w:r>
      <w:r>
        <w:rPr>
          <w:rStyle w:val="VerbatimChar"/>
        </w:rPr>
        <w:t xml:space="preserve">app/compliance/</w:t>
      </w:r>
      <w:r>
        <w:t xml:space="preserve"> </w:t>
      </w:r>
      <w:r>
        <w:t xml:space="preserve">and</w:t>
      </w:r>
      <w:r>
        <w:t xml:space="preserve"> </w:t>
      </w:r>
      <w:r>
        <w:rPr>
          <w:rStyle w:val="VerbatimChar"/>
        </w:rPr>
        <w:t xml:space="preserve">app/org_profile/</w:t>
      </w:r>
      <w:r>
        <w:t xml:space="preserve"> </w:t>
      </w:r>
      <w:r>
        <w:t xml:space="preserve">except the current funder list, which should be pulled fresh from</w:t>
      </w:r>
      <w:r>
        <w:t xml:space="preserve"> </w:t>
      </w:r>
      <w:r>
        <w:rPr>
          <w:rStyle w:val="VerbatimChar"/>
        </w:rPr>
        <w:t xml:space="preserve">04-impact-data.md</w:t>
      </w:r>
      <w:r>
        <w:t xml:space="preserve">.</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2026-07-14T17:54:48Z</dcterms:created>
  <dcterms:modified xsi:type="dcterms:W3CDTF">2026-07-14T17:54:48Z</dcterms:modified>
</cp:coreProperties>
</file>

<file path=docProps/custom.xml><?xml version="1.0" encoding="utf-8"?>
<Properties xmlns="http://schemas.openxmlformats.org/officeDocument/2006/custom-properties" xmlns:vt="http://schemas.openxmlformats.org/officeDocument/2006/docPropsVTypes"/>
</file>