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0"/>
        </w:rPr>
        <w:t>GOODProjects</w:t>
      </w:r>
    </w:p>
    <w:p>
      <w:pPr>
        <w:spacing w:after="40"/>
      </w:pPr>
      <w:r>
        <w:rPr>
          <w:b/>
          <w:color w:val="444444"/>
          <w:sz w:val="26"/>
        </w:rPr>
        <w:t>DC Government Grant Application</w:t>
      </w:r>
    </w:p>
    <w:p>
      <w:pPr>
        <w:spacing w:after="40"/>
      </w:pPr>
      <w:r>
        <w:rPr>
          <w:b w:val="0"/>
          <w:color w:val="444444"/>
          <w:sz w:val="24"/>
        </w:rPr>
        <w:t>VPART (Violence Prevention and Response) FY27, Violence Prevention Track — GOODZone</w:t>
      </w:r>
    </w:p>
    <w:p>
      <w:pPr>
        <w:spacing w:before="160"/>
      </w:pPr>
      <w:r>
        <w:rPr>
          <w:b/>
        </w:rPr>
        <w:t xml:space="preserve">STATUS: </w:t>
      </w:r>
      <w:r>
        <w:t>Final draft for Neo's approval. Budget confirmed with Neo directly on the VPART portal. Writing, grammar, and formatting are finalized below. Two small sign-offs remain before submission; see Open Items at the end.</w:t>
      </w:r>
    </w:p>
    <w:p>
      <w:pPr>
        <w:spacing w:before="120" w:after="40"/>
      </w:pPr>
      <w:r>
        <w:rPr>
          <w:b/>
          <w:sz w:val="21"/>
        </w:rPr>
        <w:t>Changes made from the original draft</w:t>
      </w:r>
    </w:p>
    <w:p>
      <w:pPr>
        <w:pStyle w:val="ListBullet"/>
        <w:spacing w:after="60"/>
      </w:pPr>
      <w:r>
        <w:rPr>
          <w:sz w:val="21"/>
        </w:rPr>
        <w:t>Removed leftover form-widget text (“Maximum characters... You have characters left”) that had gotten pasted into the answers, along with stray formatting characters left over from copying out of the portal.</w:t>
      </w:r>
    </w:p>
    <w:p>
      <w:pPr>
        <w:pStyle w:val="ListBullet"/>
        <w:spacing w:after="60"/>
      </w:pPr>
      <w:r>
        <w:rPr>
          <w:sz w:val="21"/>
        </w:rPr>
        <w:t>Corrected the program name in Question 7 (“GOODZone Crime Intervention program” did not match the name used everywhere else in the application) to GOODZone Violence Interruption Program.</w:t>
      </w:r>
    </w:p>
    <w:p>
      <w:pPr>
        <w:pStyle w:val="ListBullet"/>
        <w:spacing w:after="60"/>
      </w:pPr>
      <w:r>
        <w:rPr>
          <w:sz w:val="21"/>
        </w:rPr>
        <w:t>Rewrote two sentences in Question 11 that had broken mid-sentence and did not read as grammatical English.</w:t>
      </w:r>
    </w:p>
    <w:p>
      <w:pPr>
        <w:pStyle w:val="ListBullet"/>
        <w:spacing w:after="60"/>
      </w:pPr>
      <w:r>
        <w:rPr>
          <w:sz w:val="21"/>
        </w:rPr>
        <w:t>Reconstructed the Question 15 funding-priority checkboxes, which had collapsed into an unreadable duplicated block of text, based on what Question 16's answer actually describes.</w:t>
      </w:r>
    </w:p>
    <w:p>
      <w:pPr>
        <w:pStyle w:val="ListBullet"/>
        <w:spacing w:after="60"/>
      </w:pPr>
      <w:r>
        <w:rPr>
          <w:sz w:val="21"/>
        </w:rPr>
        <w:t>Filled in the Ward, hosting-the-Mayor, and certification checkboxes, which had no selection marked at all in the original.</w:t>
      </w:r>
    </w:p>
    <w:p>
      <w:pPr>
        <w:pStyle w:val="ListBullet"/>
        <w:spacing w:after="60"/>
      </w:pPr>
      <w:r>
        <w:rPr>
          <w:sz w:val="21"/>
        </w:rPr>
        <w:t>Cleaned up punctuation and spacing throughout (Questions 5, 6, 12, 17, 19).</w:t>
      </w:r>
    </w:p>
    <w:p>
      <w:pPr>
        <w:pBdr>
          <w:bottom w:val="single" w:sz="6" w:space="1" w:color="BFBFBF"/>
        </w:pBdr>
        <w:spacing w:before="80" w:after="80"/>
      </w:pPr>
    </w:p>
    <w:p>
      <w:pPr>
        <w:keepNext/>
        <w:spacing w:before="360" w:after="160"/>
        <w:pBdr>
          <w:bottom w:val="single" w:sz="6" w:space="4" w:color="2c3e50"/>
        </w:pBdr>
      </w:pPr>
      <w:r>
        <w:rPr>
          <w:b/>
          <w:color w:val="2C3E50"/>
          <w:sz w:val="28"/>
        </w:rPr>
        <w:t>Organization Questions</w:t>
      </w:r>
    </w:p>
    <w:p>
      <w:pPr>
        <w:keepNext/>
        <w:spacing w:before="240" w:after="40"/>
      </w:pPr>
      <w:r>
        <w:rPr>
          <w:b/>
          <w:sz w:val="23"/>
        </w:rPr>
        <w:t>1. Please provide a concise overview of your Community-Based Organization (CBO), including its history, mission, core objectives, and current programs.</w:t>
      </w:r>
    </w:p>
    <w:p>
      <w:pPr>
        <w:spacing w:after="40"/>
      </w:pPr>
      <w:r>
        <w:rPr>
          <w:i/>
          <w:color w:val="666666"/>
          <w:sz w:val="19"/>
        </w:rPr>
        <w:t>(Maximum 500 characters)</w:t>
      </w:r>
    </w:p>
    <w:p>
      <w:pPr>
        <w:spacing w:after="80" w:line="269" w:lineRule="auto"/>
      </w:pPr>
      <w:r>
        <w:rPr>
          <w:sz w:val="22"/>
        </w:rPr>
        <w:t>GOODProjects is a DC nonprofit founded in 2016 by Darius Baxter. Mission: end intergenerational poverty by investing in whole families and neighborhoods at once. We use a two-generation, place-based model in three Ward 6 public housing communities: James Creek, Syphax Gardens, and Greenleaf. Core programs: Family Support Program (wraparound coaching), JUMPSTART (workforce development), GOODLearningHub (afterschool/tutoring), and GOODZone (violence interruption). FY2026 budget: $1,800,000.</w:t>
      </w:r>
    </w:p>
    <w:p>
      <w:pPr>
        <w:spacing w:after="40"/>
      </w:pPr>
      <w:r>
        <w:rPr>
          <w:i/>
          <w:color w:val="666666"/>
          <w:sz w:val="19"/>
        </w:rPr>
        <w:t>(493 characters)</w:t>
      </w:r>
    </w:p>
    <w:p>
      <w:pPr>
        <w:keepNext/>
        <w:spacing w:before="240" w:after="40"/>
      </w:pPr>
      <w:r>
        <w:rPr>
          <w:b/>
          <w:sz w:val="23"/>
        </w:rPr>
        <w:t>2. Where is your organization physically located? (Please select all that apply.)</w:t>
      </w:r>
    </w:p>
    <w:p>
      <w:pPr>
        <w:spacing w:after="20"/>
        <w:ind w:left="360"/>
      </w:pPr>
      <w:r>
        <w:rPr>
          <w:sz w:val="22"/>
        </w:rPr>
        <w:t>☒  Ward 6</w:t>
      </w:r>
    </w:p>
    <w:p>
      <w:pPr>
        <w:spacing w:after="20"/>
        <w:ind w:left="360"/>
      </w:pPr>
      <w:r>
        <w:rPr>
          <w:sz w:val="22"/>
        </w:rPr>
        <w:t>☐  Ward 1</w:t>
      </w:r>
    </w:p>
    <w:p>
      <w:pPr>
        <w:spacing w:after="20"/>
        <w:ind w:left="360"/>
      </w:pPr>
      <w:r>
        <w:rPr>
          <w:sz w:val="22"/>
        </w:rPr>
        <w:t>☐  Ward 2</w:t>
      </w:r>
    </w:p>
    <w:p>
      <w:pPr>
        <w:spacing w:after="20"/>
        <w:ind w:left="360"/>
      </w:pPr>
      <w:r>
        <w:rPr>
          <w:sz w:val="22"/>
        </w:rPr>
        <w:t>☐  Ward 3</w:t>
      </w:r>
    </w:p>
    <w:p>
      <w:pPr>
        <w:spacing w:after="20"/>
        <w:ind w:left="360"/>
      </w:pPr>
      <w:r>
        <w:rPr>
          <w:sz w:val="22"/>
        </w:rPr>
        <w:t>☐  Ward 4</w:t>
      </w:r>
    </w:p>
    <w:p>
      <w:pPr>
        <w:spacing w:after="20"/>
        <w:ind w:left="360"/>
      </w:pPr>
      <w:r>
        <w:rPr>
          <w:sz w:val="22"/>
        </w:rPr>
        <w:t>☐  Ward 5</w:t>
      </w:r>
    </w:p>
    <w:p>
      <w:pPr>
        <w:spacing w:after="20"/>
        <w:ind w:left="360"/>
      </w:pPr>
      <w:r>
        <w:rPr>
          <w:sz w:val="22"/>
        </w:rPr>
        <w:t>☐  Ward 7</w:t>
      </w:r>
    </w:p>
    <w:p>
      <w:pPr>
        <w:spacing w:after="20"/>
        <w:ind w:left="360"/>
      </w:pPr>
      <w:r>
        <w:rPr>
          <w:sz w:val="22"/>
        </w:rPr>
        <w:t>☐  Ward 8</w:t>
      </w:r>
    </w:p>
    <w:p>
      <w:pPr>
        <w:keepNext/>
        <w:spacing w:before="240" w:after="40"/>
      </w:pPr>
      <w:r>
        <w:rPr>
          <w:b/>
          <w:sz w:val="23"/>
        </w:rPr>
        <w:t>3. What is the role of your Board of Directors in the organization's governance, strategic planning, and operational oversight?</w:t>
      </w:r>
    </w:p>
    <w:p>
      <w:pPr>
        <w:spacing w:after="40"/>
      </w:pPr>
      <w:r>
        <w:rPr>
          <w:i/>
          <w:color w:val="666666"/>
          <w:sz w:val="19"/>
        </w:rPr>
        <w:t>(Maximum 500 characters)</w:t>
      </w:r>
    </w:p>
    <w:p>
      <w:pPr>
        <w:spacing w:after="80" w:line="269" w:lineRule="auto"/>
      </w:pPr>
      <w:r>
        <w:rPr>
          <w:sz w:val="22"/>
        </w:rPr>
        <w:t>The GOODProjects Board provides governance, fiduciary oversight, and strategic direction. The Board approves the annual budget, sets priorities, and reviews financial performance quarterly. Board members partner with executive leadership on strategic planning, aligning programs with community need. Members bring expertise in community development, finance, law, and public policy, and serve as ambassadors within DC's philanthropic community, supporting fundraising and external relations.</w:t>
      </w:r>
    </w:p>
    <w:p>
      <w:pPr>
        <w:spacing w:after="40"/>
      </w:pPr>
      <w:r>
        <w:rPr>
          <w:i/>
          <w:color w:val="666666"/>
          <w:sz w:val="19"/>
        </w:rPr>
        <w:t>(490 characters)</w:t>
      </w:r>
    </w:p>
    <w:p>
      <w:pPr>
        <w:keepNext/>
        <w:spacing w:before="240" w:after="40"/>
      </w:pPr>
      <w:r>
        <w:rPr>
          <w:b/>
          <w:sz w:val="23"/>
        </w:rPr>
        <w:t>4. Would your organization be open to hosting the Mayor or a representative from her office at one or more of your events?</w:t>
      </w:r>
    </w:p>
    <w:p>
      <w:pPr>
        <w:spacing w:after="20"/>
        <w:ind w:left="360"/>
      </w:pPr>
      <w:r>
        <w:rPr>
          <w:sz w:val="22"/>
        </w:rPr>
        <w:t>☒  Yes</w:t>
      </w:r>
    </w:p>
    <w:p>
      <w:pPr>
        <w:spacing w:after="20"/>
        <w:ind w:left="360"/>
      </w:pPr>
      <w:r>
        <w:rPr>
          <w:sz w:val="22"/>
        </w:rPr>
        <w:t>☐  No</w:t>
      </w:r>
    </w:p>
    <w:p>
      <w:pPr>
        <w:spacing w:after="20"/>
        <w:ind w:left="360"/>
      </w:pPr>
      <w:r>
        <w:rPr>
          <w:sz w:val="22"/>
        </w:rPr>
        <w:t>☐  Other: ___</w:t>
      </w:r>
    </w:p>
    <w:p>
      <w:pPr>
        <w:keepNext/>
        <w:spacing w:before="240" w:after="40"/>
      </w:pPr>
      <w:r>
        <w:rPr>
          <w:b/>
          <w:sz w:val="23"/>
        </w:rPr>
        <w:t>5. Please list any grants or contracts (including subgrants and subcontracts) with any agency of the District government that your organization has currently or that your organization had in the past three years. Please be sure to include agency, year, name (if applicable), and award amounts.</w:t>
      </w:r>
    </w:p>
    <w:p>
      <w:pPr>
        <w:spacing w:after="40"/>
      </w:pPr>
      <w:r>
        <w:rPr>
          <w:i/>
          <w:color w:val="666666"/>
          <w:sz w:val="19"/>
        </w:rPr>
        <w:t>(Maximum 1000 characters)</w:t>
      </w:r>
    </w:p>
    <w:p>
      <w:pPr>
        <w:spacing w:after="80" w:line="269" w:lineRule="auto"/>
      </w:pPr>
      <w:r>
        <w:rPr>
          <w:sz w:val="22"/>
        </w:rPr>
        <w:t>DC Office of Neighborhood Safety and Engagement (ONSE), FY2026, Project Safe Neighborhood, $378,812.79; Humanities DC / DC Commission on the Arts and Humanities, FY2026, Visions Projects + Events Grant ("What's the Point? Preserving Civic Memory in Southwest DC"), $25,000; DC Department of Parks and Recreation (DPR), FY2026, SEE Grant (Event and Travel Grants), $10,000; DC Department of Parks and Recreation / DGS, FY2026, King Greenleaf Period Equity Pilot, $5,945; DC Department of Parks and Recreation (DPR), FY2025, GOODLearningHub, $75,000; DC Housing Finance Agency, FY2025, GOODLearningHub, $13,000; DC Housing Finance Agency, FY2025, 2025 SOG - GHB, $5,000.</w:t>
      </w:r>
    </w:p>
    <w:p>
      <w:pPr>
        <w:keepNext/>
        <w:spacing w:before="240" w:after="40"/>
      </w:pPr>
      <w:r>
        <w:rPr>
          <w:b/>
          <w:sz w:val="23"/>
        </w:rPr>
        <w:t>6. Please list the primary, secondary, and tertiary contacts for this proposed program.</w:t>
      </w:r>
    </w:p>
    <w:p>
      <w:pPr>
        <w:spacing w:after="40"/>
      </w:pPr>
      <w:r>
        <w:rPr>
          <w:i/>
          <w:color w:val="666666"/>
          <w:sz w:val="19"/>
        </w:rPr>
        <w:t>(Maximum 500 characters)</w:t>
      </w:r>
    </w:p>
    <w:p>
      <w:pPr>
        <w:spacing w:after="80" w:line="269" w:lineRule="auto"/>
      </w:pPr>
      <w:r>
        <w:rPr>
          <w:sz w:val="22"/>
        </w:rPr>
        <w:t>Primary Contact: Darius Baxter, Founder and Executive Director. Phone: (202) 270-0148. Email: darius@goodprojects.org. Secondary Contact: Neo Mangope, Fundraising and Grants Officer. Phone: (202) 579-9605. Email: neo@goodprojects.org. Tertiary Contact: Cole Bradshaw, Finance and Operations. Phone: (301) 442-0955. Email: cbradshaw@goodprojects.org.</w:t>
      </w:r>
    </w:p>
    <w:p>
      <w:pPr>
        <w:pBdr>
          <w:bottom w:val="single" w:sz="6" w:space="1" w:color="BFBFBF"/>
        </w:pBdr>
        <w:spacing w:before="80" w:after="80"/>
      </w:pPr>
    </w:p>
    <w:p>
      <w:pPr>
        <w:keepNext/>
        <w:spacing w:before="360" w:after="160"/>
        <w:pBdr>
          <w:bottom w:val="single" w:sz="6" w:space="4" w:color="2c3e50"/>
        </w:pBdr>
      </w:pPr>
      <w:r>
        <w:rPr>
          <w:b/>
          <w:color w:val="2C3E50"/>
          <w:sz w:val="28"/>
        </w:rPr>
        <w:t>Program Questions</w:t>
      </w:r>
    </w:p>
    <w:p>
      <w:pPr>
        <w:keepNext/>
        <w:spacing w:before="240" w:after="40"/>
      </w:pPr>
      <w:r>
        <w:rPr>
          <w:b/>
          <w:sz w:val="23"/>
        </w:rPr>
        <w:t>7. What is the name or title of the proposed program to be funded by this grant?</w:t>
      </w:r>
    </w:p>
    <w:p>
      <w:pPr>
        <w:spacing w:after="80" w:line="269" w:lineRule="auto"/>
      </w:pPr>
      <w:r>
        <w:rPr>
          <w:sz w:val="22"/>
        </w:rPr>
        <w:t>GOODZone Violence Interruption Program</w:t>
      </w:r>
    </w:p>
    <w:p>
      <w:pPr>
        <w:keepNext/>
        <w:spacing w:before="240" w:after="40"/>
      </w:pPr>
      <w:r>
        <w:rPr>
          <w:b/>
          <w:sz w:val="23"/>
        </w:rPr>
        <w:t>8. In 90 characters or less, please describe what the proposed program is:</w:t>
      </w:r>
    </w:p>
    <w:p>
      <w:pPr>
        <w:spacing w:after="80" w:line="269" w:lineRule="auto"/>
      </w:pPr>
      <w:r>
        <w:rPr>
          <w:sz w:val="22"/>
        </w:rPr>
        <w:t>Credible messenger violence interruption for housing residents in Ward 6 and Ward 8.</w:t>
      </w:r>
    </w:p>
    <w:p>
      <w:pPr>
        <w:spacing w:after="40"/>
      </w:pPr>
      <w:r>
        <w:rPr>
          <w:i/>
          <w:color w:val="666666"/>
          <w:sz w:val="19"/>
        </w:rPr>
        <w:t>(84 characters)</w:t>
      </w:r>
    </w:p>
    <w:p>
      <w:pPr>
        <w:keepNext/>
        <w:spacing w:before="240" w:after="40"/>
      </w:pPr>
      <w:r>
        <w:rPr>
          <w:b/>
          <w:sz w:val="23"/>
        </w:rPr>
        <w:t>9. In more detail, please provide an overview of the proposed program.</w:t>
      </w:r>
    </w:p>
    <w:p>
      <w:pPr>
        <w:spacing w:after="40"/>
      </w:pPr>
      <w:r>
        <w:rPr>
          <w:i/>
          <w:color w:val="666666"/>
          <w:sz w:val="19"/>
        </w:rPr>
        <w:t>(Maximum 1000 characters)</w:t>
      </w:r>
    </w:p>
    <w:p>
      <w:pPr>
        <w:spacing w:after="80" w:line="269" w:lineRule="auto"/>
      </w:pPr>
      <w:r>
        <w:rPr>
          <w:sz w:val="22"/>
        </w:rPr>
        <w:t>GOODZone is GOODProjects' violence interruption program serving public housing communities in Ward 6 and Ward 8, anchored at King Greenleaf Recreation Center. The program deploys trained credible messengers: community members with lived experience of violence who hold the trust needed to de-escalate conflict before it turns lethal, mediate disputes, and connect high-risk individuals to services. GOODZone operates across three areas: (1) Conflict mediation and violence interruption. Interrupters maintain active relationships with the highest-risk residents and respond in real time to emerging tensions. (2) Trauma-informed grief support. Residents who have lost someone to gun violence receive structured support and referrals to licensed mental health providers. (3) Pathway navigation. Participants connect to JUMPSTART for workforce development and the Family Support Program for wraparound coaching, creating exits from the conditions that drive violence.</w:t>
      </w:r>
    </w:p>
    <w:p>
      <w:pPr>
        <w:keepNext/>
        <w:spacing w:before="240" w:after="40"/>
      </w:pPr>
      <w:r>
        <w:rPr>
          <w:b/>
          <w:sz w:val="23"/>
        </w:rPr>
        <w:t>10. List at least three tangible goals of the proposed program, along with the individuals or teams responsible for achieving them.</w:t>
      </w:r>
    </w:p>
    <w:p>
      <w:pPr>
        <w:spacing w:after="40"/>
      </w:pPr>
      <w:r>
        <w:rPr>
          <w:i/>
          <w:color w:val="666666"/>
          <w:sz w:val="19"/>
        </w:rPr>
        <w:t>(Maximum 1000 characters)</w:t>
      </w:r>
    </w:p>
    <w:p>
      <w:pPr>
        <w:spacing w:after="80" w:line="269" w:lineRule="auto"/>
      </w:pPr>
      <w:r>
        <w:rPr>
          <w:sz w:val="22"/>
        </w:rPr>
        <w:t>Goal 1: By September 30, 2027, GOODZone violence interrupters will conduct at least 50 documented conflict mediations, with at least 85% of them not escalating into violence. Responsible: GOODZone Program Lead and violence interruption staff. Goal 2: By September 30, 2027, GOODZone credible messengers will engage at least 75 unduplicated Ward 6 and Ward 8 residents at elevated risk through direct outreach, with engagement tracked in the case management system. Responsible: Credible messenger outreach team. Goal 3: By September 30, 2027, a minimum of 30 GOODZone participants will be connected to at least one wraparound service: workforce development, housing stability, mental health, or education. Responsible: GOODZone Program Lead in coordination with Family Support Program staff.</w:t>
      </w:r>
    </w:p>
    <w:p>
      <w:pPr>
        <w:spacing w:after="40"/>
      </w:pPr>
      <w:r>
        <w:rPr>
          <w:i/>
          <w:color w:val="666666"/>
          <w:sz w:val="19"/>
        </w:rPr>
        <w:t>(881 characters)</w:t>
      </w:r>
    </w:p>
    <w:p>
      <w:pPr>
        <w:keepNext/>
        <w:spacing w:before="240" w:after="40"/>
      </w:pPr>
      <w:r>
        <w:rPr>
          <w:b/>
          <w:sz w:val="23"/>
        </w:rPr>
        <w:t>11. How will your organization measure and evaluate the success of the program's goals and outcomes?</w:t>
      </w:r>
    </w:p>
    <w:p>
      <w:pPr>
        <w:spacing w:after="40"/>
      </w:pPr>
      <w:r>
        <w:rPr>
          <w:i/>
          <w:color w:val="666666"/>
          <w:sz w:val="19"/>
        </w:rPr>
        <w:t>(Maximum 1000 characters)</w:t>
      </w:r>
    </w:p>
    <w:p>
      <w:pPr>
        <w:spacing w:after="80" w:line="269" w:lineRule="auto"/>
      </w:pPr>
      <w:r>
        <w:rPr>
          <w:sz w:val="22"/>
        </w:rPr>
        <w:t>GOODProjects measures GOODZone outcomes at three levels. Data collection: each violence interrupter records every conflict mediation, outreach contact, grief support session, and referral in the organization's case management system, with each entry dated and linked to a participant record. Data review: GOODZone leadership reviews each interrupter's field reports weekly and compiles monthly analyses of mediated conflicts, which are shared with the community and neighborhood leaders. Success is measured by reduced violent crime, de-escalated conflicts, violence interrupters hired through this grant, participants who move into stable employment with other Ward 6 employers, and observed behavior change at the individual and community level.</w:t>
      </w:r>
    </w:p>
    <w:p>
      <w:pPr>
        <w:keepNext/>
        <w:spacing w:before="240" w:after="40"/>
      </w:pPr>
      <w:r>
        <w:rPr>
          <w:b/>
          <w:sz w:val="23"/>
        </w:rPr>
        <w:t>12. The target population for these funds includes individuals identified as being at increased risk for violence and opioid-related overdose. Please identify which population within this group your proposed program will serve.</w:t>
      </w:r>
    </w:p>
    <w:p>
      <w:pPr>
        <w:spacing w:after="40"/>
      </w:pPr>
      <w:r>
        <w:rPr>
          <w:i/>
          <w:color w:val="666666"/>
          <w:sz w:val="19"/>
        </w:rPr>
        <w:t>(Maximum 500 characters)</w:t>
      </w:r>
    </w:p>
    <w:p>
      <w:pPr>
        <w:spacing w:after="80" w:line="269" w:lineRule="auto"/>
      </w:pPr>
      <w:r>
        <w:rPr>
          <w:sz w:val="22"/>
        </w:rPr>
        <w:t>Individuals aged 16 to 25 living in or adjacent to public housing and low-income housing units within Ward 6, PSA 105, identified by community elders or school systems as high-risk for gang or crew affiliation. Rationale: rapid gentrification in Ward 6 has created stark socioeconomic divides. Targeting youth at these geographic boundaries addresses the localized turf conflicts and economic desperation that drive both community violence and entry into illicit drug networks.</w:t>
      </w:r>
    </w:p>
    <w:p>
      <w:pPr>
        <w:keepNext/>
        <w:spacing w:before="240" w:after="40"/>
      </w:pPr>
      <w:r>
        <w:rPr>
          <w:b/>
          <w:sz w:val="23"/>
        </w:rPr>
        <w:t>13. Describe your organization's qualifications and past experience in serving the targeted community.</w:t>
      </w:r>
    </w:p>
    <w:p>
      <w:pPr>
        <w:spacing w:after="40"/>
      </w:pPr>
      <w:r>
        <w:rPr>
          <w:i/>
          <w:color w:val="666666"/>
          <w:sz w:val="19"/>
        </w:rPr>
        <w:t>(Maximum 500 characters)</w:t>
      </w:r>
    </w:p>
    <w:p>
      <w:pPr>
        <w:spacing w:after="80" w:line="269" w:lineRule="auto"/>
      </w:pPr>
      <w:r>
        <w:rPr>
          <w:sz w:val="22"/>
        </w:rPr>
        <w:t>GOODProjects has operated the GOODZone model in Ward 6 public housing for 6 years, building sustained relationships with residents and DCHA Resident Council Presidents. The organization has received prior EOM/MOCA Community Development Grant funding with documented compliance and reporting. Key lessons: consistent daily presence outperforms transactional outreach; linking violence interruption to JUMPSTART strengthens long-term stability.</w:t>
      </w:r>
    </w:p>
    <w:p>
      <w:pPr>
        <w:spacing w:after="40"/>
      </w:pPr>
      <w:r>
        <w:rPr>
          <w:i/>
          <w:color w:val="666666"/>
          <w:sz w:val="19"/>
        </w:rPr>
        <w:t>(439 characters)</w:t>
      </w:r>
    </w:p>
    <w:p>
      <w:pPr>
        <w:keepNext/>
        <w:spacing w:before="240" w:after="40"/>
      </w:pPr>
      <w:r>
        <w:rPr>
          <w:b/>
          <w:sz w:val="23"/>
        </w:rPr>
        <w:t>14. Which District ward(s) will the proposed program directly serve?</w:t>
      </w:r>
    </w:p>
    <w:p>
      <w:pPr>
        <w:spacing w:after="20"/>
        <w:ind w:left="360"/>
      </w:pPr>
      <w:r>
        <w:rPr>
          <w:sz w:val="22"/>
        </w:rPr>
        <w:t>☒  Ward 6</w:t>
      </w:r>
    </w:p>
    <w:p>
      <w:pPr>
        <w:spacing w:after="20"/>
        <w:ind w:left="360"/>
      </w:pPr>
      <w:r>
        <w:rPr>
          <w:sz w:val="22"/>
        </w:rPr>
        <w:t>☒  Ward 8</w:t>
      </w:r>
    </w:p>
    <w:p>
      <w:pPr>
        <w:spacing w:after="20"/>
        <w:ind w:left="360"/>
      </w:pPr>
      <w:r>
        <w:rPr>
          <w:sz w:val="22"/>
        </w:rPr>
        <w:t>☐  Ward 1</w:t>
      </w:r>
    </w:p>
    <w:p>
      <w:pPr>
        <w:spacing w:after="20"/>
        <w:ind w:left="360"/>
      </w:pPr>
      <w:r>
        <w:rPr>
          <w:sz w:val="22"/>
        </w:rPr>
        <w:t>☐  Ward 2</w:t>
      </w:r>
    </w:p>
    <w:p>
      <w:pPr>
        <w:spacing w:after="20"/>
        <w:ind w:left="360"/>
      </w:pPr>
      <w:r>
        <w:rPr>
          <w:sz w:val="22"/>
        </w:rPr>
        <w:t>☐  Ward 3</w:t>
      </w:r>
    </w:p>
    <w:p>
      <w:pPr>
        <w:spacing w:after="20"/>
        <w:ind w:left="360"/>
      </w:pPr>
      <w:r>
        <w:rPr>
          <w:sz w:val="22"/>
        </w:rPr>
        <w:t>☐  Ward 4</w:t>
      </w:r>
    </w:p>
    <w:p>
      <w:pPr>
        <w:spacing w:after="20"/>
        <w:ind w:left="360"/>
      </w:pPr>
      <w:r>
        <w:rPr>
          <w:sz w:val="22"/>
        </w:rPr>
        <w:t>☐  Ward 5</w:t>
      </w:r>
    </w:p>
    <w:p>
      <w:pPr>
        <w:spacing w:after="20"/>
        <w:ind w:left="360"/>
      </w:pPr>
      <w:r>
        <w:rPr>
          <w:sz w:val="22"/>
        </w:rPr>
        <w:t>☐  Ward 7</w:t>
      </w:r>
    </w:p>
    <w:p>
      <w:pPr>
        <w:keepNext/>
        <w:spacing w:before="240" w:after="40"/>
      </w:pPr>
      <w:r>
        <w:rPr>
          <w:b/>
          <w:sz w:val="23"/>
        </w:rPr>
        <w:t>15. Which of the VPART funding priorities will your proposed program address?</w:t>
      </w:r>
    </w:p>
    <w:p>
      <w:pPr>
        <w:spacing w:before="120" w:after="40"/>
      </w:pPr>
      <w:r>
        <w:rPr>
          <w:b/>
          <w:sz w:val="21"/>
        </w:rPr>
        <w:t>Service Area 1: Victim Response Services</w:t>
      </w:r>
    </w:p>
    <w:p>
      <w:pPr>
        <w:spacing w:after="20"/>
        <w:ind w:left="360"/>
      </w:pPr>
      <w:r>
        <w:rPr>
          <w:sz w:val="22"/>
        </w:rPr>
        <w:t>☐  Case Management</w:t>
      </w:r>
    </w:p>
    <w:p>
      <w:pPr>
        <w:spacing w:after="20"/>
        <w:ind w:left="360"/>
      </w:pPr>
      <w:r>
        <w:rPr>
          <w:sz w:val="22"/>
        </w:rPr>
        <w:t>☐  Legal Services</w:t>
      </w:r>
    </w:p>
    <w:p>
      <w:pPr>
        <w:spacing w:after="20"/>
        <w:ind w:left="360"/>
      </w:pPr>
      <w:r>
        <w:rPr>
          <w:sz w:val="22"/>
        </w:rPr>
        <w:t>☒  Mental Health Services</w:t>
      </w:r>
    </w:p>
    <w:p>
      <w:pPr>
        <w:spacing w:before="120" w:after="40"/>
      </w:pPr>
      <w:r>
        <w:rPr>
          <w:b/>
          <w:sz w:val="21"/>
        </w:rPr>
        <w:t>Service Area 2: Violence Prevention Outreach</w:t>
      </w:r>
    </w:p>
    <w:p>
      <w:pPr>
        <w:spacing w:after="20"/>
        <w:ind w:left="360"/>
      </w:pPr>
      <w:r>
        <w:rPr>
          <w:sz w:val="22"/>
        </w:rPr>
        <w:t>☒  Training</w:t>
      </w:r>
    </w:p>
    <w:p>
      <w:pPr>
        <w:spacing w:after="20"/>
        <w:ind w:left="360"/>
      </w:pPr>
      <w:r>
        <w:rPr>
          <w:sz w:val="22"/>
        </w:rPr>
        <w:t>☒  Community Engagement</w:t>
      </w:r>
    </w:p>
    <w:p>
      <w:pPr>
        <w:spacing w:after="20"/>
        <w:ind w:left="360"/>
      </w:pPr>
      <w:r>
        <w:rPr>
          <w:sz w:val="22"/>
        </w:rPr>
        <w:t>☒  Harm Reduction Interventions</w:t>
      </w:r>
    </w:p>
    <w:p>
      <w:pPr>
        <w:keepNext/>
        <w:spacing w:before="240" w:after="40"/>
      </w:pPr>
      <w:r>
        <w:rPr>
          <w:b/>
          <w:sz w:val="23"/>
        </w:rPr>
        <w:t>16. How does your proposed program align with one or more of the funding priorities identified in the previous question?</w:t>
      </w:r>
    </w:p>
    <w:p>
      <w:pPr>
        <w:spacing w:after="40"/>
      </w:pPr>
      <w:r>
        <w:rPr>
          <w:i/>
          <w:color w:val="666666"/>
          <w:sz w:val="19"/>
        </w:rPr>
        <w:t>(Maximum 500 characters)</w:t>
      </w:r>
    </w:p>
    <w:p>
      <w:pPr>
        <w:spacing w:after="80" w:line="269" w:lineRule="auto"/>
      </w:pPr>
      <w:r>
        <w:rPr>
          <w:sz w:val="22"/>
        </w:rPr>
        <w:t>GOODZone covers Service Area 2 through all three activities. Community Engagement: credible messengers conduct ongoing outreach in James Creek, Syphax Gardens, and Greenleaf before a crisis. Harm Reduction: staff connect residents to overdose prevention and addiction treatment. Training: staff complete training in credible messenger and trauma-informed care. The program also supports Service Area 1 through grief support and referrals to licensed mental health providers for survivors.</w:t>
      </w:r>
    </w:p>
    <w:p>
      <w:pPr>
        <w:spacing w:after="40"/>
      </w:pPr>
      <w:r>
        <w:rPr>
          <w:i/>
          <w:color w:val="666666"/>
          <w:sz w:val="19"/>
        </w:rPr>
        <w:t>(488 characters)</w:t>
      </w:r>
    </w:p>
    <w:p>
      <w:pPr>
        <w:keepNext/>
        <w:spacing w:before="240" w:after="40"/>
      </w:pPr>
      <w:r>
        <w:rPr>
          <w:b/>
          <w:sz w:val="23"/>
        </w:rPr>
        <w:t>17. Where will services for this proposed program be delivered?</w:t>
      </w:r>
    </w:p>
    <w:p>
      <w:pPr>
        <w:spacing w:after="40"/>
      </w:pPr>
      <w:r>
        <w:rPr>
          <w:i/>
          <w:color w:val="666666"/>
          <w:sz w:val="19"/>
        </w:rPr>
        <w:t>(Maximum 1000 characters)</w:t>
      </w:r>
    </w:p>
    <w:p>
      <w:pPr>
        <w:spacing w:after="80" w:line="269" w:lineRule="auto"/>
      </w:pPr>
      <w:r>
        <w:rPr>
          <w:sz w:val="22"/>
        </w:rPr>
        <w:t>Services will be delivered on-site within the three Ward 6 DCHA-managed public housing communities GOODProjects serves: James Creek Dwellings, 1100 Delaware Avenue SW, Washington, DC 20024; Syphax Gardens, 1508 2nd Street SW, Washington, DC 20024; and Greenleaf Gardens, 203 N Street SW, Washington, DC 20024. GOODProjects' main office at 996 Maine Avenue SW, Suite 208, Washington, DC 20024 serves as the program coordination hub. Violence interrupters conduct outreach in common areas, community rooms, and public spaces within each development.</w:t>
      </w:r>
    </w:p>
    <w:p>
      <w:pPr>
        <w:keepNext/>
        <w:spacing w:before="240" w:after="40"/>
      </w:pPr>
      <w:r>
        <w:rPr>
          <w:b/>
          <w:sz w:val="23"/>
        </w:rPr>
        <w:t>18. Who are your organizational partners and/or sponsors for this proposed program (if applicable)?</w:t>
      </w:r>
    </w:p>
    <w:p>
      <w:pPr>
        <w:spacing w:after="40"/>
      </w:pPr>
      <w:r>
        <w:rPr>
          <w:i/>
          <w:color w:val="666666"/>
          <w:sz w:val="19"/>
        </w:rPr>
        <w:t>(Maximum 500 characters)</w:t>
      </w:r>
    </w:p>
    <w:p>
      <w:pPr>
        <w:spacing w:after="80" w:line="269" w:lineRule="auto"/>
      </w:pPr>
      <w:r>
        <w:rPr>
          <w:sz w:val="22"/>
        </w:rPr>
        <w:t>GOODZone coordinates with DCHA Resident Council Presidents Ashley Williams (James Creek), Christine Spencer (Syphax Gardens), and Rhonda Hamilton (Greenleaf). GOODProjects partners with the DC Housing Authority on community access and with the Southwest Business Improvement District on workforce pathway connections. Licensed mental health providers receive referrals for grief support.</w:t>
      </w:r>
    </w:p>
    <w:p>
      <w:pPr>
        <w:spacing w:after="40"/>
      </w:pPr>
      <w:r>
        <w:rPr>
          <w:i/>
          <w:color w:val="666666"/>
          <w:sz w:val="19"/>
        </w:rPr>
        <w:t>(375 characters)</w:t>
      </w:r>
    </w:p>
    <w:p>
      <w:pPr>
        <w:keepNext/>
        <w:spacing w:before="240" w:after="40"/>
      </w:pPr>
      <w:r>
        <w:rPr>
          <w:b/>
          <w:sz w:val="23"/>
        </w:rPr>
        <w:t>19. How will receiving this grant support your organization's mission and capacity?</w:t>
      </w:r>
    </w:p>
    <w:p>
      <w:pPr>
        <w:spacing w:after="40"/>
      </w:pPr>
      <w:r>
        <w:rPr>
          <w:i/>
          <w:color w:val="666666"/>
          <w:sz w:val="19"/>
        </w:rPr>
        <w:t>(Maximum 500 characters)</w:t>
      </w:r>
    </w:p>
    <w:p>
      <w:pPr>
        <w:spacing w:after="80" w:line="269" w:lineRule="auto"/>
      </w:pPr>
      <w:r>
        <w:rPr>
          <w:sz w:val="22"/>
        </w:rPr>
        <w:t>This grant sustains GOODZone's full-time presence in James Creek, Syphax Gardens, and Greenleaf during FY2027. Relationship-based violence interruption does not work part-time; VPART funding covers personnel costs that allow credible messengers to be present daily. Funding also supports data tracking and reporting infrastructure that makes GOODZone outcomes legible to EOM and the VPART network, supporting EOM's goal of a coordinated, community-based violence response system across DC.</w:t>
      </w:r>
    </w:p>
    <w:p>
      <w:pPr>
        <w:keepNext/>
        <w:spacing w:before="240" w:after="40"/>
      </w:pPr>
      <w:r>
        <w:rPr>
          <w:b/>
          <w:sz w:val="23"/>
        </w:rPr>
        <w:t>20. How will your organization accommodate Limited English Proficient (LEP) and Non-English Proficient (NEP) residents?</w:t>
      </w:r>
    </w:p>
    <w:p>
      <w:pPr>
        <w:spacing w:after="40"/>
      </w:pPr>
      <w:r>
        <w:rPr>
          <w:i/>
          <w:color w:val="666666"/>
          <w:sz w:val="19"/>
        </w:rPr>
        <w:t>(Maximum 500 characters)</w:t>
      </w:r>
    </w:p>
    <w:p>
      <w:pPr>
        <w:spacing w:after="80" w:line="269" w:lineRule="auto"/>
      </w:pPr>
      <w:r>
        <w:rPr>
          <w:sz w:val="22"/>
        </w:rPr>
        <w:t>GOODProjects primarily serves English-speaking Ward 6 residents. For those with limited English proficiency, the organization connects individuals to DC government interpretation services under the Language Access Act of 2004. Materials can be adapted upon request. GOODZone's credible messenger model reduces barriers for LEP residents by prioritizing trusted personal relationships over written communication.</w:t>
      </w:r>
    </w:p>
    <w:p>
      <w:pPr>
        <w:spacing w:after="40"/>
      </w:pPr>
      <w:r>
        <w:rPr>
          <w:i/>
          <w:color w:val="666666"/>
          <w:sz w:val="19"/>
        </w:rPr>
        <w:t>(411 characters)</w:t>
      </w:r>
    </w:p>
    <w:p>
      <w:pPr>
        <w:keepNext/>
        <w:spacing w:before="240" w:after="40"/>
      </w:pPr>
      <w:r>
        <w:rPr>
          <w:b/>
          <w:sz w:val="23"/>
        </w:rPr>
        <w:t>21. How will your program ensure accessibility for individuals with physical, visual, or other disabilities?</w:t>
      </w:r>
    </w:p>
    <w:p>
      <w:pPr>
        <w:spacing w:after="40"/>
      </w:pPr>
      <w:r>
        <w:rPr>
          <w:i/>
          <w:color w:val="666666"/>
          <w:sz w:val="19"/>
        </w:rPr>
        <w:t>(Maximum 500 characters)</w:t>
      </w:r>
    </w:p>
    <w:p>
      <w:pPr>
        <w:spacing w:after="80" w:line="269" w:lineRule="auto"/>
      </w:pPr>
      <w:r>
        <w:rPr>
          <w:sz w:val="22"/>
        </w:rPr>
        <w:t>GOODZone delivers services where residents already are within public housing communities, eliminating transportation barriers for those with mobility limitations. The GOODProjects office at 996 Maine Avenue SW is ADA-compliant. Where needed, staff request reasonable accommodations through DC's Office of Disability Rights, including sign language interpretation and Braille materials, and refer participants with disability-related needs to appropriate DC support services.</w:t>
      </w:r>
    </w:p>
    <w:p>
      <w:pPr>
        <w:spacing w:after="40"/>
      </w:pPr>
      <w:r>
        <w:rPr>
          <w:i/>
          <w:color w:val="666666"/>
          <w:sz w:val="19"/>
        </w:rPr>
        <w:t>(474 characters)</w:t>
      </w:r>
    </w:p>
    <w:p>
      <w:pPr>
        <w:keepNext/>
        <w:spacing w:before="240" w:after="40"/>
      </w:pPr>
      <w:r>
        <w:rPr>
          <w:b/>
          <w:sz w:val="23"/>
        </w:rPr>
        <w:t>22. What tools or methods will your organization use to monitor the implementation and success of the proposed program?</w:t>
      </w:r>
    </w:p>
    <w:p>
      <w:pPr>
        <w:spacing w:after="40"/>
      </w:pPr>
      <w:r>
        <w:rPr>
          <w:i/>
          <w:color w:val="666666"/>
          <w:sz w:val="19"/>
        </w:rPr>
        <w:t>(Maximum 500 characters)</w:t>
      </w:r>
    </w:p>
    <w:p>
      <w:pPr>
        <w:spacing w:after="80" w:line="269" w:lineRule="auto"/>
      </w:pPr>
      <w:r>
        <w:rPr>
          <w:sz w:val="22"/>
        </w:rPr>
        <w:t>GOODProjects tracks all GOODZone contacts, mediations, referrals, and outcomes in a case management system. Records are time-stamped and linked to individual participants. GOODProjects' Analytics team compiles quarterly data against program targets and conducts internal reviews to adjust strategy. Quarterly progress reports go to EOM in the VPART format. Participant data is stored securely, accessed only by authorized staff, and verified against program records before funder submission.</w:t>
      </w:r>
    </w:p>
    <w:p>
      <w:pPr>
        <w:spacing w:after="40"/>
      </w:pPr>
      <w:r>
        <w:rPr>
          <w:i/>
          <w:color w:val="666666"/>
          <w:sz w:val="19"/>
        </w:rPr>
        <w:t>(489 characters)</w:t>
      </w:r>
    </w:p>
    <w:p>
      <w:pPr>
        <w:keepNext/>
        <w:spacing w:before="240" w:after="40"/>
      </w:pPr>
      <w:r>
        <w:rPr>
          <w:b/>
          <w:sz w:val="23"/>
        </w:rPr>
        <w:t>23. What is the total annual budget for the proposed program (for a full fiscal year)?</w:t>
      </w:r>
    </w:p>
    <w:p>
      <w:pPr>
        <w:spacing w:after="80" w:line="269" w:lineRule="auto"/>
      </w:pPr>
      <w:r>
        <w:rPr>
          <w:sz w:val="22"/>
        </w:rPr>
        <w:t>$1,189,403</w:t>
      </w:r>
    </w:p>
    <w:p>
      <w:pPr>
        <w:keepNext/>
        <w:spacing w:before="240" w:after="40"/>
      </w:pPr>
      <w:r>
        <w:rPr>
          <w:b/>
          <w:sz w:val="23"/>
        </w:rPr>
        <w:t>24. Of the total budget listed above, how much funding is being requested through this grant?</w:t>
      </w:r>
    </w:p>
    <w:p>
      <w:pPr>
        <w:spacing w:after="80" w:line="269" w:lineRule="auto"/>
      </w:pPr>
      <w:r>
        <w:rPr>
          <w:sz w:val="22"/>
        </w:rPr>
        <w:t>$50,000 (the maximum request amount allowed).</w:t>
      </w:r>
    </w:p>
    <w:p>
      <w:pPr>
        <w:keepNext/>
        <w:spacing w:before="240" w:after="40"/>
      </w:pPr>
      <w:r>
        <w:rPr>
          <w:b/>
          <w:sz w:val="23"/>
        </w:rPr>
        <w:t>25. I certify that all information provided is true, accurate, and complete to the best of my knowledge at the time of submission.</w:t>
      </w:r>
    </w:p>
    <w:p>
      <w:pPr>
        <w:spacing w:after="20"/>
        <w:ind w:left="360"/>
      </w:pPr>
      <w:r>
        <w:rPr>
          <w:sz w:val="22"/>
        </w:rPr>
        <w:t>☒  Yes</w:t>
      </w:r>
    </w:p>
    <w:p>
      <w:pPr>
        <w:spacing w:after="20"/>
        <w:ind w:left="360"/>
      </w:pPr>
      <w:r>
        <w:rPr>
          <w:sz w:val="22"/>
        </w:rPr>
        <w:t>☐  No, explain: ___</w:t>
      </w:r>
    </w:p>
    <w:p>
      <w:pPr>
        <w:pBdr>
          <w:bottom w:val="single" w:sz="6" w:space="1" w:color="BFBFBF"/>
        </w:pBdr>
        <w:spacing w:before="80" w:after="80"/>
      </w:pPr>
    </w:p>
    <w:p>
      <w:pPr>
        <w:keepNext/>
        <w:spacing w:before="360" w:after="160"/>
        <w:pBdr>
          <w:bottom w:val="single" w:sz="6" w:space="4" w:color="2c3e50"/>
        </w:pBdr>
      </w:pPr>
      <w:r>
        <w:rPr>
          <w:b/>
          <w:color w:val="2C3E50"/>
          <w:sz w:val="28"/>
        </w:rPr>
        <w:t>Work Plan</w:t>
      </w:r>
    </w:p>
    <w:p>
      <w:pPr>
        <w:spacing w:after="160"/>
      </w:pPr>
      <w:r>
        <w:rPr>
          <w:sz w:val="21"/>
        </w:rPr>
        <w:t>Aligned to GOODProjects' confirmed 2026 program calendar (sessions, breaks, and community events). Award notifications are expected October 2026; this plan assumes a November 2026 grant start through September 30, 2027. Adjust start dates once the actual Grant Agreement execution date is confirmed.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5472"/>
            <w:shd w:val="clear" w:color="auto" w:fill="2c3e50"/>
            <w:tcMar>
              <w:top w:w="60" w:type="dxa"/>
              <w:left w:w="60" w:type="dxa"/>
              <w:bottom w:w="60" w:type="dxa"/>
              <w:right w:w="60" w:type="dxa"/>
            </w:tcMar>
          </w:tcPr>
          <w:p>
            <w:pPr>
              <w:spacing w:after="40"/>
            </w:pPr>
            <w:r/>
            <w:r>
              <w:rPr>
                <w:b/>
                <w:color w:val="FFFFFF"/>
                <w:sz w:val="19"/>
              </w:rPr>
              <w:t>Activity</w:t>
            </w:r>
          </w:p>
        </w:tc>
        <w:tc>
          <w:tcPr>
            <w:tcW w:type="dxa" w:w="2304"/>
            <w:shd w:val="clear" w:color="auto" w:fill="2c3e50"/>
            <w:tcMar>
              <w:top w:w="60" w:type="dxa"/>
              <w:left w:w="60" w:type="dxa"/>
              <w:bottom w:w="60" w:type="dxa"/>
              <w:right w:w="60" w:type="dxa"/>
            </w:tcMar>
          </w:tcPr>
          <w:p>
            <w:pPr>
              <w:spacing w:after="40"/>
            </w:pPr>
            <w:r/>
            <w:r>
              <w:rPr>
                <w:b/>
                <w:color w:val="FFFFFF"/>
                <w:sz w:val="19"/>
              </w:rPr>
              <w:t>Responsible</w:t>
            </w:r>
          </w:p>
        </w:tc>
        <w:tc>
          <w:tcPr>
            <w:tcW w:type="dxa" w:w="1008"/>
            <w:shd w:val="clear" w:color="auto" w:fill="2c3e50"/>
            <w:tcMar>
              <w:top w:w="60" w:type="dxa"/>
              <w:left w:w="60" w:type="dxa"/>
              <w:bottom w:w="60" w:type="dxa"/>
              <w:right w:w="60" w:type="dxa"/>
            </w:tcMar>
          </w:tcPr>
          <w:p>
            <w:pPr>
              <w:spacing w:after="40"/>
            </w:pPr>
            <w:r/>
            <w:r>
              <w:rPr>
                <w:b/>
                <w:color w:val="FFFFFF"/>
                <w:sz w:val="19"/>
              </w:rPr>
              <w:t>Start</w:t>
            </w:r>
          </w:p>
        </w:tc>
        <w:tc>
          <w:tcPr>
            <w:tcW w:type="dxa" w:w="1008"/>
            <w:shd w:val="clear" w:color="auto" w:fill="2c3e50"/>
            <w:tcMar>
              <w:top w:w="60" w:type="dxa"/>
              <w:left w:w="60" w:type="dxa"/>
              <w:bottom w:w="60" w:type="dxa"/>
              <w:right w:w="60" w:type="dxa"/>
            </w:tcMar>
          </w:tcPr>
          <w:p>
            <w:pPr>
              <w:spacing w:after="40"/>
            </w:pPr>
            <w:r/>
            <w:r>
              <w:rPr>
                <w:b/>
                <w:color w:val="FFFFFF"/>
                <w:sz w:val="19"/>
              </w:rPr>
              <w:t>End</w:t>
            </w:r>
          </w:p>
        </w:tc>
      </w:tr>
      <w:tr>
        <w:tc>
          <w:tcPr>
            <w:tcW w:type="dxa" w:w="5472"/>
            <w:tcMar>
              <w:top w:w="60" w:type="dxa"/>
              <w:left w:w="60" w:type="dxa"/>
              <w:bottom w:w="60" w:type="dxa"/>
              <w:right w:w="60" w:type="dxa"/>
            </w:tcMar>
          </w:tcPr>
          <w:p>
            <w:pPr>
              <w:spacing w:after="40"/>
            </w:pPr>
            <w:r/>
            <w:r>
              <w:rPr>
                <w:b w:val="0"/>
                <w:sz w:val="18"/>
              </w:rPr>
              <w:t>Hire / confirm violence interrupter staff and finalize credible messenger team</w:t>
            </w:r>
          </w:p>
        </w:tc>
        <w:tc>
          <w:tcPr>
            <w:tcW w:type="dxa" w:w="2304"/>
            <w:tcMar>
              <w:top w:w="60" w:type="dxa"/>
              <w:left w:w="60" w:type="dxa"/>
              <w:bottom w:w="60" w:type="dxa"/>
              <w:right w:w="60" w:type="dxa"/>
            </w:tcMar>
          </w:tcPr>
          <w:p>
            <w:pPr>
              <w:spacing w:after="40"/>
            </w:pPr>
            <w:r/>
            <w:r>
              <w:rPr>
                <w:b w:val="0"/>
                <w:sz w:val="18"/>
              </w:rPr>
              <w:t>Darius Baxter / Demetruis Baxter</w:t>
            </w:r>
          </w:p>
        </w:tc>
        <w:tc>
          <w:tcPr>
            <w:tcW w:type="dxa" w:w="1008"/>
            <w:tcMar>
              <w:top w:w="60" w:type="dxa"/>
              <w:left w:w="60" w:type="dxa"/>
              <w:bottom w:w="60" w:type="dxa"/>
              <w:right w:w="60" w:type="dxa"/>
            </w:tcMar>
          </w:tcPr>
          <w:p>
            <w:pPr>
              <w:spacing w:after="40"/>
            </w:pPr>
            <w:r/>
            <w:r>
              <w:rPr>
                <w:b w:val="0"/>
                <w:sz w:val="18"/>
              </w:rPr>
              <w:t>11/02/26</w:t>
            </w:r>
          </w:p>
        </w:tc>
        <w:tc>
          <w:tcPr>
            <w:tcW w:type="dxa" w:w="1008"/>
            <w:tcMar>
              <w:top w:w="60" w:type="dxa"/>
              <w:left w:w="60" w:type="dxa"/>
              <w:bottom w:w="60" w:type="dxa"/>
              <w:right w:w="60" w:type="dxa"/>
            </w:tcMar>
          </w:tcPr>
          <w:p>
            <w:pPr>
              <w:spacing w:after="40"/>
            </w:pPr>
            <w:r/>
            <w:r>
              <w:rPr>
                <w:b w:val="0"/>
                <w:sz w:val="18"/>
              </w:rPr>
              <w:t>11/29/26</w:t>
            </w:r>
          </w:p>
        </w:tc>
      </w:tr>
      <w:tr>
        <w:tc>
          <w:tcPr>
            <w:tcW w:type="dxa" w:w="5472"/>
            <w:tcMar>
              <w:top w:w="60" w:type="dxa"/>
              <w:left w:w="60" w:type="dxa"/>
              <w:bottom w:w="60" w:type="dxa"/>
              <w:right w:w="60" w:type="dxa"/>
            </w:tcMar>
          </w:tcPr>
          <w:p>
            <w:pPr>
              <w:spacing w:after="40"/>
            </w:pPr>
            <w:r/>
            <w:r>
              <w:rPr>
                <w:b w:val="0"/>
                <w:sz w:val="18"/>
              </w:rPr>
              <w:t>Complete credible messenger training and trauma-informed care orientation, timed to Fall Session II low-attendance window before full launch</w:t>
            </w:r>
          </w:p>
        </w:tc>
        <w:tc>
          <w:tcPr>
            <w:tcW w:type="dxa" w:w="2304"/>
            <w:tcMar>
              <w:top w:w="60" w:type="dxa"/>
              <w:left w:w="60" w:type="dxa"/>
              <w:bottom w:w="60" w:type="dxa"/>
              <w:right w:w="60" w:type="dxa"/>
            </w:tcMar>
          </w:tcPr>
          <w:p>
            <w:pPr>
              <w:spacing w:after="40"/>
            </w:pPr>
            <w:r/>
            <w:r>
              <w:rPr>
                <w:b w:val="0"/>
                <w:sz w:val="18"/>
              </w:rPr>
              <w:t>GOODZone Program Lead</w:t>
            </w:r>
          </w:p>
        </w:tc>
        <w:tc>
          <w:tcPr>
            <w:tcW w:type="dxa" w:w="1008"/>
            <w:tcMar>
              <w:top w:w="60" w:type="dxa"/>
              <w:left w:w="60" w:type="dxa"/>
              <w:bottom w:w="60" w:type="dxa"/>
              <w:right w:w="60" w:type="dxa"/>
            </w:tcMar>
          </w:tcPr>
          <w:p>
            <w:pPr>
              <w:spacing w:after="40"/>
            </w:pPr>
            <w:r/>
            <w:r>
              <w:rPr>
                <w:b w:val="0"/>
                <w:sz w:val="18"/>
              </w:rPr>
              <w:t>11/30/26</w:t>
            </w:r>
          </w:p>
        </w:tc>
        <w:tc>
          <w:tcPr>
            <w:tcW w:type="dxa" w:w="1008"/>
            <w:tcMar>
              <w:top w:w="60" w:type="dxa"/>
              <w:left w:w="60" w:type="dxa"/>
              <w:bottom w:w="60" w:type="dxa"/>
              <w:right w:w="60" w:type="dxa"/>
            </w:tcMar>
          </w:tcPr>
          <w:p>
            <w:pPr>
              <w:spacing w:after="40"/>
            </w:pPr>
            <w:r/>
            <w:r>
              <w:rPr>
                <w:b w:val="0"/>
                <w:sz w:val="18"/>
              </w:rPr>
              <w:t>12/17/26</w:t>
            </w:r>
          </w:p>
        </w:tc>
      </w:tr>
      <w:tr>
        <w:tc>
          <w:tcPr>
            <w:tcW w:type="dxa" w:w="5472"/>
            <w:tcMar>
              <w:top w:w="60" w:type="dxa"/>
              <w:left w:w="60" w:type="dxa"/>
              <w:bottom w:w="60" w:type="dxa"/>
              <w:right w:w="60" w:type="dxa"/>
            </w:tcMar>
          </w:tcPr>
          <w:p>
            <w:pPr>
              <w:spacing w:after="40"/>
            </w:pPr>
            <w:r/>
            <w:r>
              <w:rPr>
                <w:b w:val="0"/>
                <w:sz w:val="18"/>
              </w:rPr>
              <w:t>Winter Break (Dec 21-Jan 1): staff planning, data system setup, no direct programming</w:t>
            </w:r>
          </w:p>
        </w:tc>
        <w:tc>
          <w:tcPr>
            <w:tcW w:type="dxa" w:w="2304"/>
            <w:tcMar>
              <w:top w:w="60" w:type="dxa"/>
              <w:left w:w="60" w:type="dxa"/>
              <w:bottom w:w="60" w:type="dxa"/>
              <w:right w:w="60" w:type="dxa"/>
            </w:tcMar>
          </w:tcPr>
          <w:p>
            <w:pPr>
              <w:spacing w:after="40"/>
            </w:pPr>
            <w:r/>
            <w:r>
              <w:rPr>
                <w:b w:val="0"/>
                <w:sz w:val="18"/>
              </w:rPr>
              <w:t>GOODZone Program Lead / Tibbs</w:t>
            </w:r>
          </w:p>
        </w:tc>
        <w:tc>
          <w:tcPr>
            <w:tcW w:type="dxa" w:w="1008"/>
            <w:tcMar>
              <w:top w:w="60" w:type="dxa"/>
              <w:left w:w="60" w:type="dxa"/>
              <w:bottom w:w="60" w:type="dxa"/>
              <w:right w:w="60" w:type="dxa"/>
            </w:tcMar>
          </w:tcPr>
          <w:p>
            <w:pPr>
              <w:spacing w:after="40"/>
            </w:pPr>
            <w:r/>
            <w:r>
              <w:rPr>
                <w:b w:val="0"/>
                <w:sz w:val="18"/>
              </w:rPr>
              <w:t>12/21/26</w:t>
            </w:r>
          </w:p>
        </w:tc>
        <w:tc>
          <w:tcPr>
            <w:tcW w:type="dxa" w:w="1008"/>
            <w:tcMar>
              <w:top w:w="60" w:type="dxa"/>
              <w:left w:w="60" w:type="dxa"/>
              <w:bottom w:w="60" w:type="dxa"/>
              <w:right w:w="60" w:type="dxa"/>
            </w:tcMar>
          </w:tcPr>
          <w:p>
            <w:pPr>
              <w:spacing w:after="40"/>
            </w:pPr>
            <w:r/>
            <w:r>
              <w:rPr>
                <w:b w:val="0"/>
                <w:sz w:val="18"/>
              </w:rPr>
              <w:t>01/01/27</w:t>
            </w:r>
          </w:p>
        </w:tc>
      </w:tr>
      <w:tr>
        <w:tc>
          <w:tcPr>
            <w:tcW w:type="dxa" w:w="5472"/>
            <w:tcMar>
              <w:top w:w="60" w:type="dxa"/>
              <w:left w:w="60" w:type="dxa"/>
              <w:bottom w:w="60" w:type="dxa"/>
              <w:right w:w="60" w:type="dxa"/>
            </w:tcMar>
          </w:tcPr>
          <w:p>
            <w:pPr>
              <w:spacing w:after="40"/>
            </w:pPr>
            <w:r/>
            <w:r>
              <w:rPr>
                <w:b w:val="0"/>
                <w:sz w:val="18"/>
              </w:rPr>
              <w:t>Launch daily community outreach in James Creek, Syphax Gardens, and Greenleaf, aligned to Winter Session (Jan 5-Apr 10)</w:t>
            </w:r>
          </w:p>
        </w:tc>
        <w:tc>
          <w:tcPr>
            <w:tcW w:type="dxa" w:w="2304"/>
            <w:tcMar>
              <w:top w:w="60" w:type="dxa"/>
              <w:left w:w="60" w:type="dxa"/>
              <w:bottom w:w="60" w:type="dxa"/>
              <w:right w:w="60" w:type="dxa"/>
            </w:tcMar>
          </w:tcPr>
          <w:p>
            <w:pPr>
              <w:spacing w:after="40"/>
            </w:pPr>
            <w:r/>
            <w:r>
              <w:rPr>
                <w:b w:val="0"/>
                <w:sz w:val="18"/>
              </w:rPr>
              <w:t>Credible messenger team</w:t>
            </w:r>
          </w:p>
        </w:tc>
        <w:tc>
          <w:tcPr>
            <w:tcW w:type="dxa" w:w="1008"/>
            <w:tcMar>
              <w:top w:w="60" w:type="dxa"/>
              <w:left w:w="60" w:type="dxa"/>
              <w:bottom w:w="60" w:type="dxa"/>
              <w:right w:w="60" w:type="dxa"/>
            </w:tcMar>
          </w:tcPr>
          <w:p>
            <w:pPr>
              <w:spacing w:after="40"/>
            </w:pPr>
            <w:r/>
            <w:r>
              <w:rPr>
                <w:b w:val="0"/>
                <w:sz w:val="18"/>
              </w:rPr>
              <w:t>01/05/27</w:t>
            </w:r>
          </w:p>
        </w:tc>
        <w:tc>
          <w:tcPr>
            <w:tcW w:type="dxa" w:w="1008"/>
            <w:tcMar>
              <w:top w:w="60" w:type="dxa"/>
              <w:left w:w="60" w:type="dxa"/>
              <w:bottom w:w="60" w:type="dxa"/>
              <w:right w:w="60" w:type="dxa"/>
            </w:tcMar>
          </w:tcPr>
          <w:p>
            <w:pPr>
              <w:spacing w:after="40"/>
            </w:pPr>
            <w:r/>
            <w:r>
              <w:rPr>
                <w:b w:val="0"/>
                <w:sz w:val="18"/>
              </w:rPr>
              <w:t>04/10/27</w:t>
            </w:r>
          </w:p>
        </w:tc>
      </w:tr>
      <w:tr>
        <w:tc>
          <w:tcPr>
            <w:tcW w:type="dxa" w:w="5472"/>
            <w:tcMar>
              <w:top w:w="60" w:type="dxa"/>
              <w:left w:w="60" w:type="dxa"/>
              <w:bottom w:w="60" w:type="dxa"/>
              <w:right w:w="60" w:type="dxa"/>
            </w:tcMar>
          </w:tcPr>
          <w:p>
            <w:pPr>
              <w:spacing w:after="40"/>
            </w:pPr>
            <w:r/>
            <w:r>
              <w:rPr>
                <w:b w:val="0"/>
                <w:sz w:val="18"/>
              </w:rPr>
              <w:t>Conduct conflict mediations and de-escalation as incidents arise (continuous, sessions and breaks alike)</w:t>
            </w:r>
          </w:p>
        </w:tc>
        <w:tc>
          <w:tcPr>
            <w:tcW w:type="dxa" w:w="2304"/>
            <w:tcMar>
              <w:top w:w="60" w:type="dxa"/>
              <w:left w:w="60" w:type="dxa"/>
              <w:bottom w:w="60" w:type="dxa"/>
              <w:right w:w="60" w:type="dxa"/>
            </w:tcMar>
          </w:tcPr>
          <w:p>
            <w:pPr>
              <w:spacing w:after="40"/>
            </w:pPr>
            <w:r/>
            <w:r>
              <w:rPr>
                <w:b w:val="0"/>
                <w:sz w:val="18"/>
              </w:rPr>
              <w:t>Credible messenger team</w:t>
            </w:r>
          </w:p>
        </w:tc>
        <w:tc>
          <w:tcPr>
            <w:tcW w:type="dxa" w:w="1008"/>
            <w:tcMar>
              <w:top w:w="60" w:type="dxa"/>
              <w:left w:w="60" w:type="dxa"/>
              <w:bottom w:w="60" w:type="dxa"/>
              <w:right w:w="60" w:type="dxa"/>
            </w:tcMar>
          </w:tcPr>
          <w:p>
            <w:pPr>
              <w:spacing w:after="40"/>
            </w:pPr>
            <w:r/>
            <w:r>
              <w:rPr>
                <w:b w:val="0"/>
                <w:sz w:val="18"/>
              </w:rPr>
              <w:t>11/30/26</w:t>
            </w:r>
          </w:p>
        </w:tc>
        <w:tc>
          <w:tcPr>
            <w:tcW w:type="dxa" w:w="1008"/>
            <w:tcMar>
              <w:top w:w="60" w:type="dxa"/>
              <w:left w:w="60" w:type="dxa"/>
              <w:bottom w:w="60" w:type="dxa"/>
              <w:right w:w="60" w:type="dxa"/>
            </w:tcMar>
          </w:tcPr>
          <w:p>
            <w:pPr>
              <w:spacing w:after="40"/>
            </w:pPr>
            <w:r/>
            <w:r>
              <w:rPr>
                <w:b w:val="0"/>
                <w:sz w:val="18"/>
              </w:rPr>
              <w:t>09/30/27</w:t>
            </w:r>
          </w:p>
        </w:tc>
      </w:tr>
      <w:tr>
        <w:tc>
          <w:tcPr>
            <w:tcW w:type="dxa" w:w="5472"/>
            <w:tcMar>
              <w:top w:w="60" w:type="dxa"/>
              <w:left w:w="60" w:type="dxa"/>
              <w:bottom w:w="60" w:type="dxa"/>
              <w:right w:w="60" w:type="dxa"/>
            </w:tcMar>
          </w:tcPr>
          <w:p>
            <w:pPr>
              <w:spacing w:after="40"/>
            </w:pPr>
            <w:r/>
            <w:r>
              <w:rPr>
                <w:b w:val="0"/>
                <w:sz w:val="18"/>
              </w:rPr>
              <w:t>Sustain outreach through Spring Session (Apr 20-Jun 5); connect grief support participants to licensed mental health referrals</w:t>
            </w:r>
          </w:p>
        </w:tc>
        <w:tc>
          <w:tcPr>
            <w:tcW w:type="dxa" w:w="2304"/>
            <w:tcMar>
              <w:top w:w="60" w:type="dxa"/>
              <w:left w:w="60" w:type="dxa"/>
              <w:bottom w:w="60" w:type="dxa"/>
              <w:right w:w="60" w:type="dxa"/>
            </w:tcMar>
          </w:tcPr>
          <w:p>
            <w:pPr>
              <w:spacing w:after="40"/>
            </w:pPr>
            <w:r/>
            <w:r>
              <w:rPr>
                <w:b w:val="0"/>
                <w:sz w:val="18"/>
              </w:rPr>
              <w:t>GOODZone Program Lead / licensed providers</w:t>
            </w:r>
          </w:p>
        </w:tc>
        <w:tc>
          <w:tcPr>
            <w:tcW w:type="dxa" w:w="1008"/>
            <w:tcMar>
              <w:top w:w="60" w:type="dxa"/>
              <w:left w:w="60" w:type="dxa"/>
              <w:bottom w:w="60" w:type="dxa"/>
              <w:right w:w="60" w:type="dxa"/>
            </w:tcMar>
          </w:tcPr>
          <w:p>
            <w:pPr>
              <w:spacing w:after="40"/>
            </w:pPr>
            <w:r/>
            <w:r>
              <w:rPr>
                <w:b w:val="0"/>
                <w:sz w:val="18"/>
              </w:rPr>
              <w:t>04/20/27</w:t>
            </w:r>
          </w:p>
        </w:tc>
        <w:tc>
          <w:tcPr>
            <w:tcW w:type="dxa" w:w="1008"/>
            <w:tcMar>
              <w:top w:w="60" w:type="dxa"/>
              <w:left w:w="60" w:type="dxa"/>
              <w:bottom w:w="60" w:type="dxa"/>
              <w:right w:w="60" w:type="dxa"/>
            </w:tcMar>
          </w:tcPr>
          <w:p>
            <w:pPr>
              <w:spacing w:after="40"/>
            </w:pPr>
            <w:r/>
            <w:r>
              <w:rPr>
                <w:b w:val="0"/>
                <w:sz w:val="18"/>
              </w:rPr>
              <w:t>06/05/27</w:t>
            </w:r>
          </w:p>
        </w:tc>
      </w:tr>
      <w:tr>
        <w:tc>
          <w:tcPr>
            <w:tcW w:type="dxa" w:w="5472"/>
            <w:tcMar>
              <w:top w:w="60" w:type="dxa"/>
              <w:left w:w="60" w:type="dxa"/>
              <w:bottom w:w="60" w:type="dxa"/>
              <w:right w:w="60" w:type="dxa"/>
            </w:tcMar>
          </w:tcPr>
          <w:p>
            <w:pPr>
              <w:spacing w:after="40"/>
            </w:pPr>
            <w:r/>
            <w:r>
              <w:rPr>
                <w:b w:val="0"/>
                <w:sz w:val="18"/>
              </w:rPr>
              <w:t>Increase community-facing engagement around Juneteenth Volunteer Celebration (6/19) and Camp Kick-Off (6/22), high-visibility, high-attendance community events</w:t>
            </w:r>
          </w:p>
        </w:tc>
        <w:tc>
          <w:tcPr>
            <w:tcW w:type="dxa" w:w="2304"/>
            <w:tcMar>
              <w:top w:w="60" w:type="dxa"/>
              <w:left w:w="60" w:type="dxa"/>
              <w:bottom w:w="60" w:type="dxa"/>
              <w:right w:w="60" w:type="dxa"/>
            </w:tcMar>
          </w:tcPr>
          <w:p>
            <w:pPr>
              <w:spacing w:after="40"/>
            </w:pPr>
            <w:r/>
            <w:r>
              <w:rPr>
                <w:b w:val="0"/>
                <w:sz w:val="18"/>
              </w:rPr>
              <w:t>Credible messenger team</w:t>
            </w:r>
          </w:p>
        </w:tc>
        <w:tc>
          <w:tcPr>
            <w:tcW w:type="dxa" w:w="1008"/>
            <w:tcMar>
              <w:top w:w="60" w:type="dxa"/>
              <w:left w:w="60" w:type="dxa"/>
              <w:bottom w:w="60" w:type="dxa"/>
              <w:right w:w="60" w:type="dxa"/>
            </w:tcMar>
          </w:tcPr>
          <w:p>
            <w:pPr>
              <w:spacing w:after="40"/>
            </w:pPr>
            <w:r/>
            <w:r>
              <w:rPr>
                <w:b w:val="0"/>
                <w:sz w:val="18"/>
              </w:rPr>
              <w:t>06/19/27</w:t>
            </w:r>
          </w:p>
        </w:tc>
        <w:tc>
          <w:tcPr>
            <w:tcW w:type="dxa" w:w="1008"/>
            <w:tcMar>
              <w:top w:w="60" w:type="dxa"/>
              <w:left w:w="60" w:type="dxa"/>
              <w:bottom w:w="60" w:type="dxa"/>
              <w:right w:w="60" w:type="dxa"/>
            </w:tcMar>
          </w:tcPr>
          <w:p>
            <w:pPr>
              <w:spacing w:after="40"/>
            </w:pPr>
            <w:r/>
            <w:r>
              <w:rPr>
                <w:b w:val="0"/>
                <w:sz w:val="18"/>
              </w:rPr>
              <w:t>06/22/27</w:t>
            </w:r>
          </w:p>
        </w:tc>
      </w:tr>
      <w:tr>
        <w:tc>
          <w:tcPr>
            <w:tcW w:type="dxa" w:w="5472"/>
            <w:tcMar>
              <w:top w:w="60" w:type="dxa"/>
              <w:left w:w="60" w:type="dxa"/>
              <w:bottom w:w="60" w:type="dxa"/>
              <w:right w:w="60" w:type="dxa"/>
            </w:tcMar>
          </w:tcPr>
          <w:p>
            <w:pPr>
              <w:spacing w:after="40"/>
            </w:pPr>
            <w:r/>
            <w:r>
              <w:rPr>
                <w:b w:val="0"/>
                <w:sz w:val="18"/>
              </w:rPr>
              <w:t>Sustain outreach through Summer Session (Jun 22-Aug 14); connect participants to JUMPSTART workforce services and Family Support Program</w:t>
            </w:r>
          </w:p>
        </w:tc>
        <w:tc>
          <w:tcPr>
            <w:tcW w:type="dxa" w:w="2304"/>
            <w:tcMar>
              <w:top w:w="60" w:type="dxa"/>
              <w:left w:w="60" w:type="dxa"/>
              <w:bottom w:w="60" w:type="dxa"/>
              <w:right w:w="60" w:type="dxa"/>
            </w:tcMar>
          </w:tcPr>
          <w:p>
            <w:pPr>
              <w:spacing w:after="40"/>
            </w:pPr>
            <w:r/>
            <w:r>
              <w:rPr>
                <w:b w:val="0"/>
                <w:sz w:val="18"/>
              </w:rPr>
              <w:t>GOODZone Program Lead / Marquel Webb</w:t>
            </w:r>
          </w:p>
        </w:tc>
        <w:tc>
          <w:tcPr>
            <w:tcW w:type="dxa" w:w="1008"/>
            <w:tcMar>
              <w:top w:w="60" w:type="dxa"/>
              <w:left w:w="60" w:type="dxa"/>
              <w:bottom w:w="60" w:type="dxa"/>
              <w:right w:w="60" w:type="dxa"/>
            </w:tcMar>
          </w:tcPr>
          <w:p>
            <w:pPr>
              <w:spacing w:after="40"/>
            </w:pPr>
            <w:r/>
            <w:r>
              <w:rPr>
                <w:b w:val="0"/>
                <w:sz w:val="18"/>
              </w:rPr>
              <w:t>06/22/27</w:t>
            </w:r>
          </w:p>
        </w:tc>
        <w:tc>
          <w:tcPr>
            <w:tcW w:type="dxa" w:w="1008"/>
            <w:tcMar>
              <w:top w:w="60" w:type="dxa"/>
              <w:left w:w="60" w:type="dxa"/>
              <w:bottom w:w="60" w:type="dxa"/>
              <w:right w:w="60" w:type="dxa"/>
            </w:tcMar>
          </w:tcPr>
          <w:p>
            <w:pPr>
              <w:spacing w:after="40"/>
            </w:pPr>
            <w:r/>
            <w:r>
              <w:rPr>
                <w:b w:val="0"/>
                <w:sz w:val="18"/>
              </w:rPr>
              <w:t>08/14/27</w:t>
            </w:r>
          </w:p>
        </w:tc>
      </w:tr>
      <w:tr>
        <w:tc>
          <w:tcPr>
            <w:tcW w:type="dxa" w:w="5472"/>
            <w:tcMar>
              <w:top w:w="60" w:type="dxa"/>
              <w:left w:w="60" w:type="dxa"/>
              <w:bottom w:w="60" w:type="dxa"/>
              <w:right w:w="60" w:type="dxa"/>
            </w:tcMar>
          </w:tcPr>
          <w:p>
            <w:pPr>
              <w:spacing w:after="40"/>
            </w:pPr>
            <w:r/>
            <w:r>
              <w:rPr>
                <w:b w:val="0"/>
                <w:sz w:val="18"/>
              </w:rPr>
              <w:t>Community engagement and harm reduction outreach at Back to School Community Day / JustBeBBQ (Aug 15), a high-traffic family event</w:t>
            </w:r>
          </w:p>
        </w:tc>
        <w:tc>
          <w:tcPr>
            <w:tcW w:type="dxa" w:w="2304"/>
            <w:tcMar>
              <w:top w:w="60" w:type="dxa"/>
              <w:left w:w="60" w:type="dxa"/>
              <w:bottom w:w="60" w:type="dxa"/>
              <w:right w:w="60" w:type="dxa"/>
            </w:tcMar>
          </w:tcPr>
          <w:p>
            <w:pPr>
              <w:spacing w:after="40"/>
            </w:pPr>
            <w:r/>
            <w:r>
              <w:rPr>
                <w:b w:val="0"/>
                <w:sz w:val="18"/>
              </w:rPr>
              <w:t>Credible messenger team</w:t>
            </w:r>
          </w:p>
        </w:tc>
        <w:tc>
          <w:tcPr>
            <w:tcW w:type="dxa" w:w="1008"/>
            <w:tcMar>
              <w:top w:w="60" w:type="dxa"/>
              <w:left w:w="60" w:type="dxa"/>
              <w:bottom w:w="60" w:type="dxa"/>
              <w:right w:w="60" w:type="dxa"/>
            </w:tcMar>
          </w:tcPr>
          <w:p>
            <w:pPr>
              <w:spacing w:after="40"/>
            </w:pPr>
            <w:r/>
            <w:r>
              <w:rPr>
                <w:b w:val="0"/>
                <w:sz w:val="18"/>
              </w:rPr>
              <w:t>08/15/27</w:t>
            </w:r>
          </w:p>
        </w:tc>
        <w:tc>
          <w:tcPr>
            <w:tcW w:type="dxa" w:w="1008"/>
            <w:tcMar>
              <w:top w:w="60" w:type="dxa"/>
              <w:left w:w="60" w:type="dxa"/>
              <w:bottom w:w="60" w:type="dxa"/>
              <w:right w:w="60" w:type="dxa"/>
            </w:tcMar>
          </w:tcPr>
          <w:p>
            <w:pPr>
              <w:spacing w:after="40"/>
            </w:pPr>
            <w:r/>
            <w:r>
              <w:rPr>
                <w:b w:val="0"/>
                <w:sz w:val="18"/>
              </w:rPr>
              <w:t>08/15/27</w:t>
            </w:r>
          </w:p>
        </w:tc>
      </w:tr>
      <w:tr>
        <w:tc>
          <w:tcPr>
            <w:tcW w:type="dxa" w:w="5472"/>
            <w:tcMar>
              <w:top w:w="60" w:type="dxa"/>
              <w:left w:w="60" w:type="dxa"/>
              <w:bottom w:w="60" w:type="dxa"/>
              <w:right w:w="60" w:type="dxa"/>
            </w:tcMar>
          </w:tcPr>
          <w:p>
            <w:pPr>
              <w:spacing w:after="40"/>
            </w:pPr>
            <w:r/>
            <w:r>
              <w:rPr>
                <w:b w:val="0"/>
                <w:sz w:val="18"/>
              </w:rPr>
              <w:t>Record all contacts, mediations, referrals, and outcomes in case management system (continuous)</w:t>
            </w:r>
          </w:p>
        </w:tc>
        <w:tc>
          <w:tcPr>
            <w:tcW w:type="dxa" w:w="2304"/>
            <w:tcMar>
              <w:top w:w="60" w:type="dxa"/>
              <w:left w:w="60" w:type="dxa"/>
              <w:bottom w:w="60" w:type="dxa"/>
              <w:right w:w="60" w:type="dxa"/>
            </w:tcMar>
          </w:tcPr>
          <w:p>
            <w:pPr>
              <w:spacing w:after="40"/>
            </w:pPr>
            <w:r/>
            <w:r>
              <w:rPr>
                <w:b w:val="0"/>
                <w:sz w:val="18"/>
              </w:rPr>
              <w:t>All GOODZone staff</w:t>
            </w:r>
          </w:p>
        </w:tc>
        <w:tc>
          <w:tcPr>
            <w:tcW w:type="dxa" w:w="1008"/>
            <w:tcMar>
              <w:top w:w="60" w:type="dxa"/>
              <w:left w:w="60" w:type="dxa"/>
              <w:bottom w:w="60" w:type="dxa"/>
              <w:right w:w="60" w:type="dxa"/>
            </w:tcMar>
          </w:tcPr>
          <w:p>
            <w:pPr>
              <w:spacing w:after="40"/>
            </w:pPr>
            <w:r/>
            <w:r>
              <w:rPr>
                <w:b w:val="0"/>
                <w:sz w:val="18"/>
              </w:rPr>
              <w:t>11/30/26</w:t>
            </w:r>
          </w:p>
        </w:tc>
        <w:tc>
          <w:tcPr>
            <w:tcW w:type="dxa" w:w="1008"/>
            <w:tcMar>
              <w:top w:w="60" w:type="dxa"/>
              <w:left w:w="60" w:type="dxa"/>
              <w:bottom w:w="60" w:type="dxa"/>
              <w:right w:w="60" w:type="dxa"/>
            </w:tcMar>
          </w:tcPr>
          <w:p>
            <w:pPr>
              <w:spacing w:after="40"/>
            </w:pPr>
            <w:r/>
            <w:r>
              <w:rPr>
                <w:b w:val="0"/>
                <w:sz w:val="18"/>
              </w:rPr>
              <w:t>09/30/27</w:t>
            </w:r>
          </w:p>
        </w:tc>
      </w:tr>
      <w:tr>
        <w:tc>
          <w:tcPr>
            <w:tcW w:type="dxa" w:w="5472"/>
            <w:tcMar>
              <w:top w:w="60" w:type="dxa"/>
              <w:left w:w="60" w:type="dxa"/>
              <w:bottom w:w="60" w:type="dxa"/>
              <w:right w:w="60" w:type="dxa"/>
            </w:tcMar>
          </w:tcPr>
          <w:p>
            <w:pPr>
              <w:spacing w:after="40"/>
            </w:pPr>
            <w:r/>
            <w:r>
              <w:rPr>
                <w:b w:val="0"/>
                <w:sz w:val="18"/>
              </w:rPr>
              <w:t>Quarterly data review aligned to end of each program session (post-Winter, post-Spring, post-Summer)</w:t>
            </w:r>
          </w:p>
        </w:tc>
        <w:tc>
          <w:tcPr>
            <w:tcW w:type="dxa" w:w="2304"/>
            <w:tcMar>
              <w:top w:w="60" w:type="dxa"/>
              <w:left w:w="60" w:type="dxa"/>
              <w:bottom w:w="60" w:type="dxa"/>
              <w:right w:w="60" w:type="dxa"/>
            </w:tcMar>
          </w:tcPr>
          <w:p>
            <w:pPr>
              <w:spacing w:after="40"/>
            </w:pPr>
            <w:r/>
            <w:r>
              <w:rPr>
                <w:b w:val="0"/>
                <w:sz w:val="18"/>
              </w:rPr>
              <w:t>Tibbs / GOODZone Program Lead</w:t>
            </w:r>
          </w:p>
        </w:tc>
        <w:tc>
          <w:tcPr>
            <w:tcW w:type="dxa" w:w="1008"/>
            <w:tcMar>
              <w:top w:w="60" w:type="dxa"/>
              <w:left w:w="60" w:type="dxa"/>
              <w:bottom w:w="60" w:type="dxa"/>
              <w:right w:w="60" w:type="dxa"/>
            </w:tcMar>
          </w:tcPr>
          <w:p>
            <w:pPr>
              <w:spacing w:after="40"/>
            </w:pPr>
            <w:r/>
            <w:r>
              <w:rPr>
                <w:b w:val="0"/>
                <w:sz w:val="18"/>
              </w:rPr>
              <w:t>04/11/27</w:t>
            </w:r>
          </w:p>
        </w:tc>
        <w:tc>
          <w:tcPr>
            <w:tcW w:type="dxa" w:w="1008"/>
            <w:tcMar>
              <w:top w:w="60" w:type="dxa"/>
              <w:left w:w="60" w:type="dxa"/>
              <w:bottom w:w="60" w:type="dxa"/>
              <w:right w:w="60" w:type="dxa"/>
            </w:tcMar>
          </w:tcPr>
          <w:p>
            <w:pPr>
              <w:spacing w:after="40"/>
            </w:pPr>
            <w:r/>
            <w:r>
              <w:rPr>
                <w:b w:val="0"/>
                <w:sz w:val="18"/>
              </w:rPr>
              <w:t>08/15/27</w:t>
            </w:r>
          </w:p>
        </w:tc>
      </w:tr>
      <w:tr>
        <w:tc>
          <w:tcPr>
            <w:tcW w:type="dxa" w:w="5472"/>
            <w:tcMar>
              <w:top w:w="60" w:type="dxa"/>
              <w:left w:w="60" w:type="dxa"/>
              <w:bottom w:w="60" w:type="dxa"/>
              <w:right w:w="60" w:type="dxa"/>
            </w:tcMar>
          </w:tcPr>
          <w:p>
            <w:pPr>
              <w:spacing w:after="40"/>
            </w:pPr>
            <w:r/>
            <w:r>
              <w:rPr>
                <w:b w:val="0"/>
                <w:sz w:val="18"/>
              </w:rPr>
              <w:t>Submit quarterly progress reports to EOM</w:t>
            </w:r>
          </w:p>
        </w:tc>
        <w:tc>
          <w:tcPr>
            <w:tcW w:type="dxa" w:w="2304"/>
            <w:tcMar>
              <w:top w:w="60" w:type="dxa"/>
              <w:left w:w="60" w:type="dxa"/>
              <w:bottom w:w="60" w:type="dxa"/>
              <w:right w:w="60" w:type="dxa"/>
            </w:tcMar>
          </w:tcPr>
          <w:p>
            <w:pPr>
              <w:spacing w:after="40"/>
            </w:pPr>
            <w:r/>
            <w:r>
              <w:rPr>
                <w:b w:val="0"/>
                <w:sz w:val="18"/>
              </w:rPr>
              <w:t>Neo Mangope / Demetruis Baxter</w:t>
            </w:r>
          </w:p>
        </w:tc>
        <w:tc>
          <w:tcPr>
            <w:tcW w:type="dxa" w:w="1008"/>
            <w:tcMar>
              <w:top w:w="60" w:type="dxa"/>
              <w:left w:w="60" w:type="dxa"/>
              <w:bottom w:w="60" w:type="dxa"/>
              <w:right w:w="60" w:type="dxa"/>
            </w:tcMar>
          </w:tcPr>
          <w:p>
            <w:pPr>
              <w:spacing w:after="40"/>
            </w:pPr>
            <w:r/>
            <w:r>
              <w:rPr>
                <w:b w:val="0"/>
                <w:sz w:val="18"/>
              </w:rPr>
              <w:t>01/15/27</w:t>
            </w:r>
          </w:p>
        </w:tc>
        <w:tc>
          <w:tcPr>
            <w:tcW w:type="dxa" w:w="1008"/>
            <w:tcMar>
              <w:top w:w="60" w:type="dxa"/>
              <w:left w:w="60" w:type="dxa"/>
              <w:bottom w:w="60" w:type="dxa"/>
              <w:right w:w="60" w:type="dxa"/>
            </w:tcMar>
          </w:tcPr>
          <w:p>
            <w:pPr>
              <w:spacing w:after="40"/>
            </w:pPr>
            <w:r/>
            <w:r>
              <w:rPr>
                <w:b w:val="0"/>
                <w:sz w:val="18"/>
              </w:rPr>
              <w:t>09/30/27</w:t>
            </w:r>
          </w:p>
        </w:tc>
      </w:tr>
      <w:tr>
        <w:tc>
          <w:tcPr>
            <w:tcW w:type="dxa" w:w="5472"/>
            <w:tcMar>
              <w:top w:w="60" w:type="dxa"/>
              <w:left w:w="60" w:type="dxa"/>
              <w:bottom w:w="60" w:type="dxa"/>
              <w:right w:w="60" w:type="dxa"/>
            </w:tcMar>
          </w:tcPr>
          <w:p>
            <w:pPr>
              <w:spacing w:after="40"/>
            </w:pPr>
            <w:r/>
            <w:r>
              <w:rPr>
                <w:b w:val="0"/>
                <w:sz w:val="18"/>
              </w:rPr>
              <w:t>Community engagement at Celebrity Kickball Game (9/19), final major community event before grant period close</w:t>
            </w:r>
          </w:p>
        </w:tc>
        <w:tc>
          <w:tcPr>
            <w:tcW w:type="dxa" w:w="2304"/>
            <w:tcMar>
              <w:top w:w="60" w:type="dxa"/>
              <w:left w:w="60" w:type="dxa"/>
              <w:bottom w:w="60" w:type="dxa"/>
              <w:right w:w="60" w:type="dxa"/>
            </w:tcMar>
          </w:tcPr>
          <w:p>
            <w:pPr>
              <w:spacing w:after="40"/>
            </w:pPr>
            <w:r/>
            <w:r>
              <w:rPr>
                <w:b w:val="0"/>
                <w:sz w:val="18"/>
              </w:rPr>
              <w:t>Credible messenger team</w:t>
            </w:r>
          </w:p>
        </w:tc>
        <w:tc>
          <w:tcPr>
            <w:tcW w:type="dxa" w:w="1008"/>
            <w:tcMar>
              <w:top w:w="60" w:type="dxa"/>
              <w:left w:w="60" w:type="dxa"/>
              <w:bottom w:w="60" w:type="dxa"/>
              <w:right w:w="60" w:type="dxa"/>
            </w:tcMar>
          </w:tcPr>
          <w:p>
            <w:pPr>
              <w:spacing w:after="40"/>
            </w:pPr>
            <w:r/>
            <w:r>
              <w:rPr>
                <w:b w:val="0"/>
                <w:sz w:val="18"/>
              </w:rPr>
              <w:t>09/19/27</w:t>
            </w:r>
          </w:p>
        </w:tc>
        <w:tc>
          <w:tcPr>
            <w:tcW w:type="dxa" w:w="1008"/>
            <w:tcMar>
              <w:top w:w="60" w:type="dxa"/>
              <w:left w:w="60" w:type="dxa"/>
              <w:bottom w:w="60" w:type="dxa"/>
              <w:right w:w="60" w:type="dxa"/>
            </w:tcMar>
          </w:tcPr>
          <w:p>
            <w:pPr>
              <w:spacing w:after="40"/>
            </w:pPr>
            <w:r/>
            <w:r>
              <w:rPr>
                <w:b w:val="0"/>
                <w:sz w:val="18"/>
              </w:rPr>
              <w:t>09/19/27</w:t>
            </w:r>
          </w:p>
        </w:tc>
      </w:tr>
      <w:tr>
        <w:tc>
          <w:tcPr>
            <w:tcW w:type="dxa" w:w="5472"/>
            <w:tcMar>
              <w:top w:w="60" w:type="dxa"/>
              <w:left w:w="60" w:type="dxa"/>
              <w:bottom w:w="60" w:type="dxa"/>
              <w:right w:w="60" w:type="dxa"/>
            </w:tcMar>
          </w:tcPr>
          <w:p>
            <w:pPr>
              <w:spacing w:after="40"/>
            </w:pPr>
            <w:r/>
            <w:r>
              <w:rPr>
                <w:b w:val="0"/>
                <w:sz w:val="18"/>
              </w:rPr>
              <w:t>Conduct end-of-year program evaluation and prepare final report, aligned to grant period close</w:t>
            </w:r>
          </w:p>
        </w:tc>
        <w:tc>
          <w:tcPr>
            <w:tcW w:type="dxa" w:w="2304"/>
            <w:tcMar>
              <w:top w:w="60" w:type="dxa"/>
              <w:left w:w="60" w:type="dxa"/>
              <w:bottom w:w="60" w:type="dxa"/>
              <w:right w:w="60" w:type="dxa"/>
            </w:tcMar>
          </w:tcPr>
          <w:p>
            <w:pPr>
              <w:spacing w:after="40"/>
            </w:pPr>
            <w:r/>
            <w:r>
              <w:rPr>
                <w:b w:val="0"/>
                <w:sz w:val="18"/>
              </w:rPr>
              <w:t>Tibbs / GOODZone Program Lead / Neo Mangope</w:t>
            </w:r>
          </w:p>
        </w:tc>
        <w:tc>
          <w:tcPr>
            <w:tcW w:type="dxa" w:w="1008"/>
            <w:tcMar>
              <w:top w:w="60" w:type="dxa"/>
              <w:left w:w="60" w:type="dxa"/>
              <w:bottom w:w="60" w:type="dxa"/>
              <w:right w:w="60" w:type="dxa"/>
            </w:tcMar>
          </w:tcPr>
          <w:p>
            <w:pPr>
              <w:spacing w:after="40"/>
            </w:pPr>
            <w:r/>
            <w:r>
              <w:rPr>
                <w:b w:val="0"/>
                <w:sz w:val="18"/>
              </w:rPr>
              <w:t>09/01/27</w:t>
            </w:r>
          </w:p>
        </w:tc>
        <w:tc>
          <w:tcPr>
            <w:tcW w:type="dxa" w:w="1008"/>
            <w:tcMar>
              <w:top w:w="60" w:type="dxa"/>
              <w:left w:w="60" w:type="dxa"/>
              <w:bottom w:w="60" w:type="dxa"/>
              <w:right w:w="60" w:type="dxa"/>
            </w:tcMar>
          </w:tcPr>
          <w:p>
            <w:pPr>
              <w:spacing w:after="40"/>
            </w:pPr>
            <w:r/>
            <w:r>
              <w:rPr>
                <w:b w:val="0"/>
                <w:sz w:val="18"/>
              </w:rPr>
              <w:t>09/30/27</w:t>
            </w:r>
          </w:p>
        </w:tc>
      </w:tr>
    </w:tbl>
    <w:p>
      <w:pPr>
        <w:pBdr>
          <w:bottom w:val="single" w:sz="6" w:space="1" w:color="BFBFBF"/>
        </w:pBdr>
        <w:spacing w:before="80" w:after="80"/>
      </w:pPr>
    </w:p>
    <w:p>
      <w:pPr>
        <w:keepNext/>
        <w:spacing w:before="360" w:after="160"/>
        <w:pBdr>
          <w:bottom w:val="single" w:sz="6" w:space="4" w:color="2c3e50"/>
        </w:pBdr>
      </w:pPr>
      <w:r>
        <w:rPr>
          <w:b/>
          <w:color w:val="2C3E50"/>
          <w:sz w:val="28"/>
        </w:rPr>
        <w:t>Pre-Submission QA Gate</w:t>
      </w:r>
    </w:p>
    <w:p>
      <w:pPr>
        <w:spacing w:after="60"/>
      </w:pPr>
      <w:r>
        <w:rPr>
          <w:sz w:val="21"/>
        </w:rPr>
        <w:t xml:space="preserve">01  ☒  </w:t>
      </w:r>
      <w:r>
        <w:rPr>
          <w:sz w:val="21"/>
        </w:rPr>
        <w:t>All placeholders filled with real content</w:t>
      </w:r>
    </w:p>
    <w:p>
      <w:pPr>
        <w:spacing w:after="60"/>
      </w:pPr>
      <w:r>
        <w:rPr>
          <w:sz w:val="21"/>
        </w:rPr>
        <w:t xml:space="preserve">02  ☒  </w:t>
      </w:r>
      <w:r>
        <w:rPr>
          <w:sz w:val="21"/>
        </w:rPr>
        <w:t>Funder ask ($50,000) is at, not over, the stated cap</w:t>
      </w:r>
    </w:p>
    <w:p>
      <w:pPr>
        <w:spacing w:after="60"/>
      </w:pPr>
      <w:r>
        <w:rPr>
          <w:sz w:val="21"/>
        </w:rPr>
        <w:t xml:space="preserve">03  ☒  </w:t>
      </w:r>
      <w:r>
        <w:rPr>
          <w:sz w:val="21"/>
        </w:rPr>
        <w:t>Budget total ($1,189,403) confirmed with Neo on the VPART portal</w:t>
      </w:r>
    </w:p>
    <w:p>
      <w:pPr>
        <w:spacing w:after="60"/>
      </w:pPr>
      <w:r>
        <w:rPr>
          <w:sz w:val="21"/>
        </w:rPr>
        <w:t xml:space="preserve">04  ☒  </w:t>
      </w:r>
      <w:r>
        <w:rPr>
          <w:sz w:val="21"/>
        </w:rPr>
        <w:t>No Cara Adams in the staffing section</w:t>
      </w:r>
    </w:p>
    <w:p>
      <w:pPr>
        <w:spacing w:after="60"/>
      </w:pPr>
      <w:r>
        <w:rPr>
          <w:sz w:val="21"/>
        </w:rPr>
        <w:t xml:space="preserve">05  ☒  </w:t>
      </w:r>
      <w:r>
        <w:rPr>
          <w:sz w:val="21"/>
        </w:rPr>
        <w:t>Address reads: 996 Maine Avenue SW, Suite 208, Washington, DC 20024</w:t>
      </w:r>
    </w:p>
    <w:p>
      <w:pPr>
        <w:spacing w:after="60"/>
      </w:pPr>
      <w:r>
        <w:rPr>
          <w:sz w:val="21"/>
        </w:rPr>
        <w:t xml:space="preserve">06  ☒  </w:t>
      </w:r>
      <w:r>
        <w:rPr>
          <w:sz w:val="21"/>
        </w:rPr>
        <w:t>Geography confirmed: physical service sites are Ward 6 (Q17); population served is described as Ward 6 and Ward 8 (Q8, Q9, Q10, Q14, Q16), consistent with language GOODProjects has used in other current GOODZone drafts</w:t>
      </w:r>
    </w:p>
    <w:p>
      <w:pPr>
        <w:spacing w:after="60"/>
      </w:pPr>
      <w:r>
        <w:rPr>
          <w:sz w:val="21"/>
        </w:rPr>
        <w:t xml:space="preserve">07  ☒  </w:t>
      </w:r>
      <w:r>
        <w:rPr>
          <w:sz w:val="21"/>
        </w:rPr>
        <w:t>Proof metrics chosen (conflict mediations, engagement counts, referrals) match VPART's violence-prevention domain</w:t>
      </w:r>
    </w:p>
    <w:p>
      <w:pPr>
        <w:spacing w:after="60"/>
      </w:pPr>
      <w:r>
        <w:rPr>
          <w:sz w:val="21"/>
        </w:rPr>
        <w:t xml:space="preserve">08  ☒  </w:t>
      </w:r>
      <w:r>
        <w:rPr>
          <w:sz w:val="21"/>
        </w:rPr>
        <w:t>All work plan dates are valid and fall inside the Nov 2026-Sep 2027 project period</w:t>
      </w:r>
    </w:p>
    <w:p>
      <w:pPr>
        <w:spacing w:after="60"/>
      </w:pPr>
      <w:r>
        <w:rPr>
          <w:sz w:val="21"/>
        </w:rPr>
        <w:t xml:space="preserve">09  ☒  </w:t>
      </w:r>
      <w:r>
        <w:rPr>
          <w:sz w:val="21"/>
        </w:rPr>
        <w:t>No machine artifacts, character-counter text, or stray formatting characters left in any answer</w:t>
      </w:r>
    </w:p>
    <w:p>
      <w:pPr>
        <w:spacing w:after="60"/>
      </w:pPr>
      <w:r>
        <w:rPr>
          <w:sz w:val="21"/>
        </w:rPr>
        <w:t xml:space="preserve">10  ☒  </w:t>
      </w:r>
      <w:r>
        <w:rPr>
          <w:sz w:val="21"/>
        </w:rPr>
        <w:t>No em or en dashes in GOODProjects' own answer text (the RFA's own Service Area option labels are left as the funder wrote them)</w:t>
      </w:r>
    </w:p>
    <w:p>
      <w:pPr>
        <w:spacing w:after="60"/>
      </w:pPr>
      <w:r>
        <w:rPr>
          <w:sz w:val="21"/>
        </w:rPr>
        <w:t xml:space="preserve">11  ☐  </w:t>
      </w:r>
      <w:r>
        <w:rPr>
          <w:sz w:val="21"/>
        </w:rPr>
        <w:t>Certification (Q25) and Q4 (hosting the Mayor) both need Darius Baxter's personal confirmation before this goes out</w:t>
      </w:r>
    </w:p>
    <w:p>
      <w:pPr>
        <w:spacing w:after="60"/>
      </w:pPr>
      <w:r>
        <w:rPr>
          <w:sz w:val="21"/>
        </w:rPr>
        <w:t xml:space="preserve">12  ☐  </w:t>
      </w:r>
      <w:r>
        <w:rPr>
          <w:sz w:val="21"/>
        </w:rPr>
        <w:t>Attachments not yet assembled; see Open Items below</w:t>
      </w:r>
    </w:p>
    <w:p>
      <w:pPr>
        <w:pBdr>
          <w:bottom w:val="single" w:sz="6" w:space="1" w:color="BFBFBF"/>
        </w:pBdr>
        <w:spacing w:before="80" w:after="80"/>
      </w:pPr>
    </w:p>
    <w:p>
      <w:pPr>
        <w:keepNext/>
        <w:spacing w:before="360" w:after="160"/>
        <w:pBdr>
          <w:bottom w:val="single" w:sz="6" w:space="4" w:color="2c3e50"/>
        </w:pBdr>
      </w:pPr>
      <w:r>
        <w:rPr>
          <w:b/>
          <w:color w:val="2C3E50"/>
          <w:sz w:val="28"/>
        </w:rPr>
        <w:t>Open Items Before This Can Be Submitted</w:t>
      </w:r>
    </w:p>
    <w:p>
      <w:pPr>
        <w:pStyle w:val="ListBullet"/>
        <w:spacing w:after="60"/>
      </w:pPr>
      <w:r>
        <w:rPr>
          <w:b/>
          <w:sz w:val="21"/>
        </w:rPr>
        <w:t xml:space="preserve">Confirm Q4 (hosting the Mayor) and Q25 (certification) with Darius. </w:t>
      </w:r>
      <w:r>
        <w:rPr>
          <w:sz w:val="21"/>
        </w:rPr>
        <w:t>Both are marked “Yes” as the standard default, but both are commitments/certifications that should get Darius's explicit sign-off before submission.</w:t>
      </w:r>
    </w:p>
    <w:p>
      <w:pPr>
        <w:pStyle w:val="ListBullet"/>
        <w:spacing w:after="60"/>
      </w:pPr>
      <w:r>
        <w:rPr>
          <w:b/>
          <w:sz w:val="21"/>
        </w:rPr>
        <w:t xml:space="preserve">Assemble attachments. </w:t>
      </w:r>
      <w:r>
        <w:rPr>
          <w:sz w:val="21"/>
        </w:rPr>
        <w:t>DC government submissions typically require the Clean Hands Certificate, Certificate of Good Standing, 501(c)(3) determination letter, and audited financials. All are on file in app/compliance/ and current as of this application; confirm which the VPART portal specifically requests.</w:t>
      </w:r>
    </w:p>
    <w:p>
      <w:pPr>
        <w:pStyle w:val="ListBullet"/>
        <w:spacing w:after="60"/>
      </w:pPr>
      <w:r>
        <w:rPr>
          <w:b/>
          <w:sz w:val="21"/>
        </w:rPr>
        <w:t xml:space="preserve">Submit </w:t>
      </w:r>
      <w:r>
        <w:rPr>
          <w:sz w:val="21"/>
        </w:rPr>
        <w:t>once Darius has signed off and attachments are assembled.</w:t>
      </w:r>
    </w:p>
    <w:p>
      <w:pPr>
        <w:pBdr>
          <w:bottom w:val="single" w:sz="6" w:space="1" w:color="BFBFBF"/>
        </w:pBdr>
        <w:spacing w:before="80" w:after="80"/>
      </w:pPr>
    </w:p>
    <w:p>
      <w:pPr>
        <w:jc w:val="center"/>
      </w:pPr>
      <w:r>
        <w:rPr>
          <w:color w:val="666666"/>
          <w:sz w:val="18"/>
        </w:rPr>
        <w:t>GOODProjects, Inc.  |  996 Maine Avenue SW, Suite 208, Washington, DC 20024  |  EIN 81-1491594  |  grants@goodprojects.org</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