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GOODProjects Grant Qualification Note</w:t>
      </w:r>
    </w:p>
    <w:p>
      <w:r>
        <w:rPr>
          <w:i/>
          <w:sz w:val="24"/>
        </w:rPr>
        <w:t>Row 200, 2026 dev bible tab: Henry E. Niles Foundation</w:t>
      </w:r>
    </w:p>
    <w:p>
      <w:pPr>
        <w:pStyle w:val="Heading2"/>
      </w:pPr>
      <w:r>
        <w:t>Decision: NO-GO (flagged, not drafted)</w:t>
      </w:r>
    </w:p>
    <w:p>
      <w:pPr>
        <w:pStyle w:val="Heading2"/>
      </w:pPr>
      <w:r>
        <w:t>Why</w:t>
      </w:r>
    </w:p>
    <w:p>
      <w:r>
        <w:t xml:space="preserve">The Henry E. Niles Foundation's own FAQ states that </w:t>
      </w:r>
      <w:r>
        <w:rPr>
          <w:b/>
        </w:rPr>
        <w:t>the Foundation is not currently accepting applications from new organizations</w:t>
      </w:r>
      <w:r>
        <w:t>. This is a hard stop independent of program fit or geography: GOODProjects has no prior grant history with Niles, so it would be applying as a new organization into a door that is currently closed. Writing a full proposal would not change this; the Foundation is not reviewing new-org applications at all right now.</w:t>
      </w:r>
    </w:p>
    <w:p>
      <w:r>
        <w:t xml:space="preserve">There is also a secondary, softer geographic concern: although the Foundation states it makes some grants in other regions and abroad, the </w:t>
      </w:r>
      <w:r>
        <w:rPr>
          <w:b/>
        </w:rPr>
        <w:t>majority of its grantmaking is concentrated in the northeastern United States</w:t>
      </w:r>
      <w:r>
        <w:t>, and it is not clear DC falls inside that core funding geography. This would be worth reassessing only if the "new organizations" gate ever reopens.</w:t>
      </w:r>
    </w:p>
    <w:p>
      <w:pPr>
        <w:pStyle w:val="Heading2"/>
      </w:pPr>
      <w:r>
        <w:t>What was found</w:t>
      </w:r>
    </w:p>
    <w:p>
      <w:pPr>
        <w:pStyle w:val="ListBullet"/>
      </w:pPr>
      <w:r>
        <w:rPr>
          <w:b/>
        </w:rPr>
        <w:t>Eligibility:</w:t>
      </w:r>
      <w:r>
        <w:t xml:space="preserve"> 501(c)(3) tax-exempt status required.</w:t>
      </w:r>
    </w:p>
    <w:p>
      <w:pPr>
        <w:pStyle w:val="ListBullet"/>
      </w:pPr>
      <w:r>
        <w:rPr>
          <w:b/>
        </w:rPr>
        <w:t>Grant size:</w:t>
      </w:r>
      <w:r>
        <w:t xml:space="preserve"> typically $2,500 to $50,000, with larger grants considered in unique cases for major-impact programs.</w:t>
      </w:r>
    </w:p>
    <w:p>
      <w:pPr>
        <w:pStyle w:val="ListBullet"/>
      </w:pPr>
      <w:r>
        <w:rPr>
          <w:b/>
        </w:rPr>
        <w:t>Geographic focus:</w:t>
      </w:r>
      <w:r>
        <w:t xml:space="preserve"> primarily the northeastern U.S., with some grants elsewhere or abroad made only through U.S. tax-exempt organizations.</w:t>
      </w:r>
    </w:p>
    <w:p>
      <w:pPr>
        <w:pStyle w:val="ListBullet"/>
      </w:pPr>
      <w:r>
        <w:rPr>
          <w:b/>
        </w:rPr>
        <w:t>Will not fund:</w:t>
      </w:r>
      <w:r>
        <w:t xml:space="preserve"> non-501(c)(3) entities, individuals, general fundraising drives, endowments, government agencies, or organizations that subsist mainly on third-party funding with little effort to attract private support.</w:t>
      </w:r>
    </w:p>
    <w:p>
      <w:pPr>
        <w:pStyle w:val="ListBullet"/>
      </w:pPr>
      <w:r>
        <w:rPr>
          <w:b/>
        </w:rPr>
        <w:t>Process:</w:t>
      </w:r>
      <w:r>
        <w:t xml:space="preserve"> rolling review, no deadlines, Boards meet 10 times a year — but new-organization applications are currently paused.</w:t>
      </w:r>
    </w:p>
    <w:p>
      <w:r>
        <w:t xml:space="preserve">Source: </w:t>
      </w:r>
      <w:hyperlink r:id="rId9">
        <w:r>
          <w:rPr>
            <w:color w:val="0563C1"/>
            <w:u w:val="single"/>
          </w:rPr>
          <w:t>Henry E. Niles Foundation — Guidelines</w:t>
        </w:r>
      </w:hyperlink>
      <w:r>
        <w:t xml:space="preserve">, </w:t>
      </w:r>
      <w:hyperlink r:id="rId10">
        <w:r>
          <w:rPr>
            <w:color w:val="0563C1"/>
            <w:u w:val="single"/>
          </w:rPr>
          <w:t>Frequently Asked Questions</w:t>
        </w:r>
      </w:hyperlink>
    </w:p>
    <w:p>
      <w:pPr>
        <w:pStyle w:val="Heading2"/>
      </w:pPr>
      <w:r>
        <w:t>Recommendation</w:t>
      </w:r>
    </w:p>
    <w:p>
      <w:r>
        <w:t>Skip for now. This is not a fit/quality problem, it is an intake-status problem: the Foundation is not reviewing new-organization applications. Worth periodically rechecking henryniles.org for a status change before committing drafting time, or asking Neo whether GOODProjects has any existing contact with the Foundation that predates or falls outside the current pause.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enryniles.org/guidelines.html" TargetMode="External"/><Relationship Id="rId10" Type="http://schemas.openxmlformats.org/officeDocument/2006/relationships/hyperlink" Target="https://www.henryniles.org/frequently-asked-ques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