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GOODProjects Grant Qualification Note</w:t>
      </w:r>
    </w:p>
    <w:p>
      <w:r>
        <w:rPr>
          <w:i/>
          <w:sz w:val="24"/>
        </w:rPr>
        <w:t>Row 201, 2026 dev bible tab: Carlson Family Foundation</w:t>
      </w:r>
    </w:p>
    <w:p>
      <w:pPr>
        <w:pStyle w:val="Heading2"/>
      </w:pPr>
      <w:r>
        <w:t>Decision: NO-GO (flagged, not drafted)</w:t>
      </w:r>
    </w:p>
    <w:p>
      <w:pPr>
        <w:pStyle w:val="Heading2"/>
      </w:pPr>
      <w:r>
        <w:t>Why</w:t>
      </w:r>
    </w:p>
    <w:p>
      <w:r>
        <w:t xml:space="preserve">The Carlson Family Foundation funds organizations serving the </w:t>
      </w:r>
      <w:r>
        <w:rPr>
          <w:b/>
        </w:rPr>
        <w:t>Twin Cities metro area (Minneapolis and St. Paul)</w:t>
      </w:r>
      <w:r>
        <w:t>. GOODProjects' service area is Southwest DC's Ward 6 public housing communities, well outside the Foundation's stated geographic scope. This is a hard geographic disqualifier independent of program fit, similar to the Capitol Hill Community Foundation and Entergy issues already flagged on other rows.</w:t>
      </w:r>
    </w:p>
    <w:p>
      <w:r>
        <w:t xml:space="preserve">There is a second, independent blocker: the Foundation has stated it </w:t>
      </w:r>
      <w:r>
        <w:rPr>
          <w:b/>
        </w:rPr>
        <w:t>will not be accepting Letters of Inquiry (LOIs) for 2026 funding requests</w:t>
      </w:r>
      <w:r>
        <w:t>, as it is focused on deepening collaboration with current grantees rather than intake from new organizations. Even a Minneapolis or St. Paul-based organization would not be able to apply this cycle.</w:t>
      </w:r>
    </w:p>
    <w:p>
      <w:pPr>
        <w:pStyle w:val="Heading2"/>
      </w:pPr>
      <w:r>
        <w:t>What was found</w:t>
      </w:r>
    </w:p>
    <w:p>
      <w:pPr>
        <w:pStyle w:val="ListBullet"/>
      </w:pPr>
      <w:r>
        <w:rPr>
          <w:b/>
        </w:rPr>
        <w:t>Geographic focus:</w:t>
      </w:r>
      <w:r>
        <w:t xml:space="preserve"> Twin Cities metro (Minneapolis/St. Paul) only.</w:t>
      </w:r>
    </w:p>
    <w:p>
      <w:pPr>
        <w:pStyle w:val="ListBullet"/>
      </w:pPr>
      <w:r>
        <w:rPr>
          <w:b/>
        </w:rPr>
        <w:t>Eligibility:</w:t>
      </w:r>
      <w:r>
        <w:t xml:space="preserve"> 501(c)(3) tax-exempt nonprofits (or fiscal-sponsored equivalents for the Youth Participatory Grantmaking Program).</w:t>
      </w:r>
    </w:p>
    <w:p>
      <w:pPr>
        <w:pStyle w:val="ListBullet"/>
      </w:pPr>
      <w:r>
        <w:rPr>
          <w:b/>
        </w:rPr>
        <w:t>Priority areas:</w:t>
      </w:r>
      <w:r>
        <w:t xml:space="preserve"> the Constellation Initiative (youth, with an emphasis on youth of color, in Minneapolis/St. Paul), Vibrant Communities (inclusive access to arts, culture, and green spaces), and Sex Trafficking Prevention.</w:t>
      </w:r>
    </w:p>
    <w:p>
      <w:pPr>
        <w:pStyle w:val="ListBullet"/>
      </w:pPr>
      <w:r>
        <w:rPr>
          <w:b/>
        </w:rPr>
        <w:t>2026 status:</w:t>
      </w:r>
      <w:r>
        <w:t xml:space="preserve"> not accepting LOIs for 2026, as the Foundation is prioritizing existing grantee relationships.</w:t>
      </w:r>
    </w:p>
    <w:p>
      <w:r>
        <w:t xml:space="preserve">Source: </w:t>
      </w:r>
      <w:hyperlink r:id="rId9">
        <w:r>
          <w:rPr>
            <w:color w:val="0563C1"/>
            <w:u w:val="single"/>
          </w:rPr>
          <w:t>Carlson Family Foundation — Grantmaking</w:t>
        </w:r>
      </w:hyperlink>
      <w:r>
        <w:t xml:space="preserve">, </w:t>
      </w:r>
      <w:hyperlink r:id="rId10">
        <w:r>
          <w:rPr>
            <w:color w:val="0563C1"/>
            <w:u w:val="single"/>
          </w:rPr>
          <w:t>Carlson Family Foundation — Important Notice</w:t>
        </w:r>
      </w:hyperlink>
    </w:p>
    <w:p>
      <w:pPr>
        <w:pStyle w:val="Heading2"/>
      </w:pPr>
      <w:r>
        <w:t>Recommendation</w:t>
      </w:r>
    </w:p>
    <w:p>
      <w:r>
        <w:t>Skip. Both the geography (Twin Cities only, not DC) and the 2026 intake pause (no LOIs being accepted) independently rule this out. No narrative quality would overcome either gate. Revisit only if GOODProjects develops Twin Cities-based programming, which is outside its current mission and service area.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lsonfamilyfoundation.org/grantmaking/" TargetMode="External"/><Relationship Id="rId10" Type="http://schemas.openxmlformats.org/officeDocument/2006/relationships/hyperlink" Target="https://carlsonfamilyfound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