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GOODProjects Grant Qualification Note</w:t>
      </w:r>
    </w:p>
    <w:p>
      <w:r>
        <w:rPr>
          <w:i/>
          <w:sz w:val="24"/>
        </w:rPr>
        <w:t>Row 202, 2026 dev bible tab: Corning Incorporated Community Impact and Investment</w:t>
      </w:r>
    </w:p>
    <w:p>
      <w:pPr>
        <w:pStyle w:val="Heading2"/>
      </w:pPr>
      <w:r>
        <w:t>Decision: NO-GO (flagged, not drafted)</w:t>
      </w:r>
    </w:p>
    <w:p>
      <w:pPr>
        <w:pStyle w:val="Heading2"/>
      </w:pPr>
      <w:r>
        <w:t>Why</w:t>
      </w:r>
    </w:p>
    <w:p>
      <w:r>
        <w:t xml:space="preserve">Corning's Community Impact and Investment grants are restricted to community-based programs within a </w:t>
      </w:r>
      <w:r>
        <w:rPr>
          <w:b/>
        </w:rPr>
        <w:t>20-mile radius of a Corning business location with at least 50 employees</w:t>
      </w:r>
      <w:r>
        <w:t>. Corning's major U.S. sites are concentrated in upstate New York (Corning/Elmira) and other manufacturing/tech hub locations. Washington, DC is not a known Corning facility community, and there is no evidence GOODProjects falls within the required radius of any qualifying site.</w:t>
      </w:r>
    </w:p>
    <w:p>
      <w:r>
        <w:t xml:space="preserve">On top of the geographic gate, the program is </w:t>
      </w:r>
      <w:r>
        <w:rPr>
          <w:b/>
        </w:rPr>
        <w:t>invitation-only</w:t>
      </w:r>
      <w:r>
        <w:t>: eligible organizations first introduce themselves by emailing philanthropy@corning.com, and Corning decides whether to invite a full application. Corning does not accept unsolicited proposals. There is no record of GOODProjects having received such an invitation.</w:t>
      </w:r>
    </w:p>
    <w:p>
      <w:r>
        <w:t>Note: an earlier triage pass on this same opportunity is recorded in `2026-batch-triage-notes.md` under row 200 in the dev bible tab at that time; the row number appears to have shifted to 202 in a later revision of the tracker. The underlying funder and eligibility issue are unchanged.</w:t>
      </w:r>
    </w:p>
    <w:p>
      <w:pPr>
        <w:pStyle w:val="Heading2"/>
      </w:pPr>
      <w:r>
        <w:t>What was found</w:t>
      </w:r>
    </w:p>
    <w:p>
      <w:pPr>
        <w:pStyle w:val="ListBullet"/>
      </w:pPr>
      <w:r>
        <w:rPr>
          <w:b/>
        </w:rPr>
        <w:t>Focus areas:</w:t>
      </w:r>
      <w:r>
        <w:t xml:space="preserve"> arts and culture, STEM education, small business development, workforce support, and local DEI efforts.</w:t>
      </w:r>
    </w:p>
    <w:p>
      <w:pPr>
        <w:pStyle w:val="ListBullet"/>
      </w:pPr>
      <w:r>
        <w:rPr>
          <w:b/>
        </w:rPr>
        <w:t>Geographic requirement:</w:t>
      </w:r>
      <w:r>
        <w:t xml:space="preserve"> within 20 miles of a Corning site with 50+ employees; the Corning/Elmira, NY window runs February 15 to September 15 for a rolling annual cycle.</w:t>
      </w:r>
    </w:p>
    <w:p>
      <w:pPr>
        <w:pStyle w:val="ListBullet"/>
      </w:pPr>
      <w:r>
        <w:rPr>
          <w:b/>
        </w:rPr>
        <w:t>Eligibility:</w:t>
      </w:r>
      <w:r>
        <w:t xml:space="preserve"> 501(c)(3) or 509(a) public charity, no written discrimination policy.</w:t>
      </w:r>
    </w:p>
    <w:p>
      <w:pPr>
        <w:pStyle w:val="ListBullet"/>
      </w:pPr>
      <w:r>
        <w:rPr>
          <w:b/>
        </w:rPr>
        <w:t>Not funded:</w:t>
      </w:r>
      <w:r>
        <w:t xml:space="preserve"> event sponsorships, conferences, individuals, religious or political causes.</w:t>
      </w:r>
    </w:p>
    <w:p>
      <w:pPr>
        <w:pStyle w:val="ListBullet"/>
      </w:pPr>
      <w:r>
        <w:rPr>
          <w:b/>
        </w:rPr>
        <w:t>Entry point:</w:t>
      </w:r>
      <w:r>
        <w:t xml:space="preserve"> an introductory email to philanthropy@corning.com, not a direct application.</w:t>
      </w:r>
    </w:p>
    <w:p>
      <w:pPr>
        <w:pStyle w:val="Heading2"/>
      </w:pPr>
      <w:r>
        <w:t>Recommendation</w:t>
      </w:r>
    </w:p>
    <w:p>
      <w:r>
        <w:t>Skip, unless Neo knows of a specific Corning facility near DC or an existing relationship with the philanthropy team that would support an invitation. If Neo wants to pursue it anyway, the correct next step is the introductory email to philanthropy@corning.com, not a proposal draft, since Corning will not accept an uninvited application regardless of narrative quality.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