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Corporate Grant Draft</w:t>
      </w:r>
      <w:r>
        <w:t xml:space="preserve"> </w:t>
      </w:r>
      <w:r>
        <w:t xml:space="preserve">Washington Gas Community Investment Program: GOODZone Violence Interruption</w:t>
      </w:r>
    </w:p>
    <w:p>
      <w:pPr>
        <w:pStyle w:val="BodyText"/>
      </w:pPr>
      <w:r>
        <w:t xml:space="preserve">STATUS: Draft for Neo’s go/no-go review. Not yet submitted. Two items below need confirmation before this goes out (see Open Items at the end).</w:t>
      </w:r>
    </w:p>
    <w:p>
      <w:pPr>
        <w:pStyle w:val="BodyText"/>
      </w:pPr>
      <w:r>
        <w:t xml:space="preserve">SUPERSEDED FOR SUBMISSION PURPOSES: Washington Gas’s actual application runs through the AltaGas Versaic portal, a structured question set, not an open LOI/narrative. The submission-ready answer set, built directly against the real portal questions from GOODProjects’ own prior draft, is</w:t>
      </w:r>
      <w:r>
        <w:t xml:space="preserve"> </w:t>
      </w:r>
      <w:r>
        <w:rPr>
          <w:rStyle w:val="VerbatimChar"/>
        </w:rPr>
        <w:t xml:space="preserve">2026-washington-gas-portal-answers.md</w:t>
      </w:r>
      <w:r>
        <w:t xml:space="preserve">. This document remains useful as source narrative, but submit from the portal answer set, not from this file directly.</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Company / Foundation</w:t>
            </w:r>
          </w:p>
        </w:tc>
        <w:tc>
          <w:tcPr/>
          <w:p>
            <w:pPr>
              <w:pStyle w:val="Compact"/>
              <w:jc w:val="left"/>
            </w:pPr>
            <w:r>
              <w:t xml:space="preserve">Washington Gas</w:t>
            </w:r>
          </w:p>
        </w:tc>
      </w:tr>
      <w:tr>
        <w:tc>
          <w:tcPr/>
          <w:p>
            <w:pPr>
              <w:pStyle w:val="Compact"/>
              <w:jc w:val="left"/>
            </w:pPr>
            <w:r>
              <w:t xml:space="preserve">Program / Fund</w:t>
            </w:r>
          </w:p>
        </w:tc>
        <w:tc>
          <w:tcPr/>
          <w:p>
            <w:pPr>
              <w:pStyle w:val="Compact"/>
              <w:jc w:val="left"/>
            </w:pPr>
            <w:r>
              <w:t xml:space="preserve">Community Investment Program (2026 cycle,</w:t>
            </w:r>
            <w:r>
              <w:t xml:space="preserve"> </w:t>
            </w:r>
            <w:r>
              <w:t xml:space="preserve">“</w:t>
            </w:r>
            <w:r>
              <w:t xml:space="preserve">safer neighborhoods</w:t>
            </w:r>
            <w:r>
              <w:t xml:space="preserve">”</w:t>
            </w:r>
            <w:r>
              <w:t xml:space="preserve"> </w:t>
            </w:r>
            <w:r>
              <w:t xml:space="preserve">priority area)</w:t>
            </w:r>
          </w:p>
        </w:tc>
      </w:tr>
      <w:tr>
        <w:tc>
          <w:tcPr/>
          <w:p>
            <w:pPr>
              <w:pStyle w:val="Compact"/>
              <w:jc w:val="left"/>
            </w:pPr>
            <w:r>
              <w:t xml:space="preserve">Stage</w:t>
            </w:r>
          </w:p>
        </w:tc>
        <w:tc>
          <w:tcPr/>
          <w:p>
            <w:pPr>
              <w:pStyle w:val="Compact"/>
              <w:jc w:val="left"/>
            </w:pPr>
            <w:r>
              <w:t xml:space="preserve">Unconfirmed. Washington Gas’s site was not accessible to verify whether this is an LOI-first or direct-application process. This draft is written to work as either. Public search confirms Washington Gas gave out $545,000 across 46 grants in its first 2026 round (announced May 19, 2026) and stated it would open a second round</w:t>
            </w:r>
            <w:r>
              <w:t xml:space="preserve"> </w:t>
            </w:r>
            <w:r>
              <w:t xml:space="preserve">“</w:t>
            </w:r>
            <w:r>
              <w:t xml:space="preserve">later this year,</w:t>
            </w:r>
            <w:r>
              <w:t xml:space="preserve">”</w:t>
            </w:r>
            <w:r>
              <w:t xml:space="preserve"> </w:t>
            </w:r>
            <w:r>
              <w:t xml:space="preserve">without a published date as of this writing. Confirm the second round is actually open before submitting against the August 1 date below.</w:t>
            </w:r>
          </w:p>
        </w:tc>
      </w:tr>
      <w:tr>
        <w:tc>
          <w:tcPr/>
          <w:p>
            <w:pPr>
              <w:pStyle w:val="Compact"/>
              <w:jc w:val="left"/>
            </w:pPr>
            <w:r>
              <w:t xml:space="preserve">Ask Amount</w:t>
            </w:r>
          </w:p>
        </w:tc>
        <w:tc>
          <w:tcPr/>
          <w:p>
            <w:pPr>
              <w:pStyle w:val="Compact"/>
              <w:jc w:val="left"/>
            </w:pPr>
            <w:r>
              <w:t xml:space="preserve">$12,000</w:t>
            </w:r>
          </w:p>
        </w:tc>
      </w:tr>
      <w:tr>
        <w:tc>
          <w:tcPr/>
          <w:p>
            <w:pPr>
              <w:pStyle w:val="Compact"/>
              <w:jc w:val="left"/>
            </w:pPr>
            <w:r>
              <w:t xml:space="preserve">Deadline</w:t>
            </w:r>
          </w:p>
        </w:tc>
        <w:tc>
          <w:tcPr/>
          <w:p>
            <w:pPr>
              <w:pStyle w:val="Compact"/>
              <w:jc w:val="left"/>
            </w:pPr>
            <w:r>
              <w:t xml:space="preserve">August 1, 2026 (per internal grant tracker, dev bible 2026 tab, row 210); not independently confirmed against a published second-round date, verify before submission</w:t>
            </w:r>
          </w:p>
        </w:tc>
      </w:tr>
      <w:tr>
        <w:tc>
          <w:tcPr/>
          <w:p>
            <w:pPr>
              <w:pStyle w:val="Compact"/>
              <w:jc w:val="left"/>
            </w:pPr>
            <w:r>
              <w:t xml:space="preserve">Contact</w:t>
            </w:r>
          </w:p>
        </w:tc>
        <w:tc>
          <w:tcPr/>
          <w:p>
            <w:pPr>
              <w:pStyle w:val="Compact"/>
              <w:jc w:val="left"/>
            </w:pPr>
            <w:r>
              <w:t xml:space="preserve">Not listed in the dev bible entry; needs sourcing before submission</w:t>
            </w:r>
          </w:p>
        </w:tc>
      </w:tr>
      <w:tr>
        <w:tc>
          <w:tcPr/>
          <w:p>
            <w:pPr>
              <w:pStyle w:val="Compact"/>
              <w:jc w:val="left"/>
            </w:pPr>
            <w:r>
              <w:t xml:space="preserve">Strategic Fit</w:t>
            </w:r>
          </w:p>
        </w:tc>
        <w:tc>
          <w:tcPr/>
          <w:p>
            <w:pPr>
              <w:pStyle w:val="Compact"/>
              <w:jc w:val="left"/>
            </w:pPr>
            <w:r>
              <w:t xml:space="preserve">Washington Gas’s Community Investment Program funds organizations building safer neighborhoods across the DC, Maryland, and Virginia region. GOODZone is GOODProjects’ violence interruption program, operating daily in Ward 6 hotspot corridors.</w:t>
            </w:r>
          </w:p>
        </w:tc>
      </w:tr>
      <w:tr>
        <w:tc>
          <w:tcPr/>
          <w:p>
            <w:pPr>
              <w:pStyle w:val="Compact"/>
              <w:jc w:val="left"/>
            </w:pPr>
            <w:r>
              <w:t xml:space="preserve">Go/No-Go Confirmed</w:t>
            </w:r>
          </w:p>
        </w:tc>
        <w:tc>
          <w:tcPr/>
          <w:p>
            <w:pPr>
              <w:pStyle w:val="Compact"/>
              <w:jc w:val="left"/>
            </w:pPr>
            <w:r>
              <w:t xml:space="preserve">Not yet. Routing to Neo.</w:t>
            </w:r>
          </w:p>
        </w:tc>
      </w:tr>
    </w:tbl>
    <w:p>
      <w:r>
        <w:pict>
          <v:rect style="width:0;height:1.5pt" o:hralign="center" o:hrstd="t" o:hr="t"/>
        </w:pict>
      </w:r>
    </w:p>
    <w:bookmarkEnd w:id="20"/>
    <w:bookmarkStart w:id="26" w:name="part-a-letter-of-intent-loi"/>
    <w:p>
      <w:pPr>
        <w:pStyle w:val="Heading2"/>
      </w:pPr>
      <w:r>
        <w:t xml:space="preserve">PART A: LETTER OF INTENT (LOI)</w:t>
      </w:r>
    </w:p>
    <w:bookmarkStart w:id="21" w:name="opening-paragraph-mission-and-ask"/>
    <w:p>
      <w:pPr>
        <w:pStyle w:val="Heading3"/>
      </w:pPr>
      <w:r>
        <w:t xml:space="preserve">Opening Paragraph: Mission and Ask</w:t>
      </w:r>
    </w:p>
    <w:p>
      <w:pPr>
        <w:pStyle w:val="FirstParagraph"/>
      </w:pPr>
      <w:r>
        <w:t xml:space="preserve">GOODProjects operates GOODZone, a violence interruption program that has kept violent crime in Southwest DC’s public housing communities at less than half the level of a comparable neighboring area over the past six years. We respectfully request $12,000 from Washington Gas’s Community Investment Program to fund two additional Community Outreach Workers for one year, extending GOODZone’s daily street-level presence in Ward 6’s highest-risk corridors.</w:t>
      </w:r>
    </w:p>
    <w:bookmarkEnd w:id="21"/>
    <w:bookmarkStart w:id="22" w:name="the-problem-we-are-solving"/>
    <w:p>
      <w:pPr>
        <w:pStyle w:val="Heading3"/>
      </w:pPr>
      <w:r>
        <w:t xml:space="preserve">The Problem We Are Solving</w:t>
      </w:r>
    </w:p>
    <w:p>
      <w:pPr>
        <w:pStyle w:val="FirstParagraph"/>
      </w:pPr>
      <w:r>
        <w:t xml:space="preserve">Southwest DC’s public housing communities, including Greenleaf Gardens, Syphax Gardens, and the corridors around Buzzard Point and the Waterfront Metro, have experienced sustained gun violence for years. Over the past six years, GOODZone’s coverage area recorded 249 violent incidents, compared with 601 in the neighboring Navy Yard area, a rate less than half as high despite serving a population with lower income and higher poverty rates. Violent crime in the GOODZone peaked at 53 incidents in 2023 before falling to 29 in 2024, a decline achieved through daily outreach, not through the crime falling on its own. Sustaining that decline requires continued street-level presence, and current funding covers a smaller outreach team than the corridors require.</w:t>
      </w:r>
    </w:p>
    <w:bookmarkEnd w:id="22"/>
    <w:bookmarkStart w:id="23" w:name="our-approach"/>
    <w:p>
      <w:pPr>
        <w:pStyle w:val="Heading3"/>
      </w:pPr>
      <w:r>
        <w:t xml:space="preserve">Our Approach</w:t>
      </w:r>
    </w:p>
    <w:p>
      <w:pPr>
        <w:pStyle w:val="FirstParagraph"/>
      </w:pPr>
      <w:r>
        <w:t xml:space="preserve">GOODZone deploys Credible Messengers, Outreach Workers, and Crisis Intervention Specialists, all with direct lived experience of violence and incarceration, for daily street-level presence in identified hotspot corridors: M Street SE, Buzzard Point, Syphax Gardens, Greenleaf Gardens, and the Waterfront Metro area. The team mediates conflicts in real time to prevent retaliation, and activates within 48 hours of any shooting or major conflict to stabilize individuals and families, provide trauma counseling, and connect them to Family Success Planning coaches. Outreach Workers are often the first point of contact: they build the day-to-day trust that lets Credible Messengers intervene before a conflict turns violent.</w:t>
      </w:r>
    </w:p>
    <w:bookmarkEnd w:id="23"/>
    <w:bookmarkStart w:id="24" w:name="why-we-are-the-right-partner"/>
    <w:p>
      <w:pPr>
        <w:pStyle w:val="Heading3"/>
      </w:pPr>
      <w:r>
        <w:t xml:space="preserve">Why We Are the Right Partner</w:t>
      </w:r>
    </w:p>
    <w:p>
      <w:pPr>
        <w:pStyle w:val="FirstParagraph"/>
      </w:pPr>
      <w:r>
        <w:t xml:space="preserve">GOODProjects has served Southwest DC for nearly a decade. We have invested $8 million in Ward 6 families, earned recognition from Forbes, CBS 60 Minutes, and NBC Nightly News, and built lasting partnerships with the DC Department of Employment Services, DC Parks and Recreation, and more than 20 community organizations.</w:t>
      </w:r>
    </w:p>
    <w:bookmarkEnd w:id="24"/>
    <w:bookmarkStart w:id="25" w:name="the-ask"/>
    <w:p>
      <w:pPr>
        <w:pStyle w:val="Heading3"/>
      </w:pPr>
      <w:r>
        <w:t xml:space="preserve">The Ask</w:t>
      </w:r>
    </w:p>
    <w:p>
      <w:pPr>
        <w:pStyle w:val="FirstParagraph"/>
      </w:pPr>
      <w:r>
        <w:t xml:space="preserve">We respectfully request $12,000 to fund two Community Outreach Workers for one year, extending GOODZone’s daily street-level presence in Ward 6’s highest-risk corridors and serving residents in and around Southwest DC’s public housing communities.</w:t>
      </w:r>
    </w:p>
    <w:p>
      <w:r>
        <w:pict>
          <v:rect style="width:0;height:1.5pt" o:hralign="center" o:hrstd="t" o:hr="t"/>
        </w:pict>
      </w:r>
    </w:p>
    <w:bookmarkEnd w:id="25"/>
    <w:bookmarkEnd w:id="26"/>
    <w:bookmarkStart w:id="33" w:name="part-b-full-application"/>
    <w:p>
      <w:pPr>
        <w:pStyle w:val="Heading2"/>
      </w:pPr>
      <w:r>
        <w:t xml:space="preserve">PART B: FULL APPLICATION</w:t>
      </w:r>
    </w:p>
    <w:bookmarkStart w:id="27" w:name="organization-description"/>
    <w:p>
      <w:pPr>
        <w:pStyle w:val="Heading3"/>
      </w:pPr>
      <w:r>
        <w:t xml:space="preserve">Organization Description</w:t>
      </w:r>
    </w:p>
    <w:p>
      <w:pPr>
        <w:pStyle w:val="FirstParagraph"/>
      </w:pPr>
      <w:r>
        <w:t xml:space="preserve">GOODProjects is a Washington, DC nonprofit, founded in 2016, working to end the cycle of intergenerational poverty through a place-based, two-generation model. We pair children’s education and youth development with the economic mobility, food security, health, and stability of the adults around them, so progress in one generation reinforces the next. We serve residents of James Creek, Syphax Gardens, and Greenleaf, three public housing communities in Southwest DC’s Ward 6, where median household income is approximately $14,000 per year.</w:t>
      </w:r>
    </w:p>
    <w:bookmarkEnd w:id="27"/>
    <w:bookmarkStart w:id="28" w:name="community-served"/>
    <w:p>
      <w:pPr>
        <w:pStyle w:val="Heading3"/>
      </w:pPr>
      <w:r>
        <w:t xml:space="preserve">Community Served</w:t>
      </w:r>
    </w:p>
    <w:p>
      <w:pPr>
        <w:pStyle w:val="FirstParagraph"/>
      </w:pPr>
      <w:r>
        <w:t xml:space="preserve">We serve residents of James Creek, Syphax Gardens, and Greenleaf, three public housing communities in Southwest DC’s Ward 6. Approximately 95% of participants identify as Black or African American. Median household income is approximately $14,000 per year.</w:t>
      </w:r>
    </w:p>
    <w:bookmarkEnd w:id="28"/>
    <w:bookmarkStart w:id="29" w:name="program-description"/>
    <w:p>
      <w:pPr>
        <w:pStyle w:val="Heading3"/>
      </w:pPr>
      <w:r>
        <w:t xml:space="preserve">Program Description</w:t>
      </w:r>
    </w:p>
    <w:p>
      <w:pPr>
        <w:pStyle w:val="FirstParagraph"/>
      </w:pPr>
      <w:r>
        <w:t xml:space="preserve">GOODZone is GOODProjects’ violence interruption program, the third phase in a four-phase continuum that also includes Family Success Planning, GOODLearningHub afterschool programming, and JUMPSTART workforce development. GOODZone’s field team, comprising Credible Messengers, Crisis Intervention Specialists, and Community Outreach Workers, covers Ward 6 and Ward 8 corridors daily. Outreach Workers walk the same corridors every day, building the relationships that let the team identify conflicts before they escalate and connect at-risk residents to services. When a shooting or major conflict occurs, Crisis Intervention Specialists activate within 48 hours to stabilize affected individuals and families, provide trauma-informed counseling, and hand off to Family Success Planning coaches for longer-term support. This $12,000 request funds two additional Community Outreach Workers for one year of daily coverage.</w:t>
      </w:r>
    </w:p>
    <w:bookmarkEnd w:id="29"/>
    <w:bookmarkStart w:id="30" w:name="outcomes"/>
    <w:p>
      <w:pPr>
        <w:pStyle w:val="Heading3"/>
      </w:pPr>
      <w:r>
        <w:t xml:space="preserve">Outcomes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Participants Served</w:t>
            </w:r>
          </w:p>
        </w:tc>
        <w:tc>
          <w:tcPr/>
          <w:p>
            <w:pPr>
              <w:pStyle w:val="Compact"/>
              <w:jc w:val="left"/>
            </w:pPr>
            <w:r>
              <w:t xml:space="preserve">Contributes to GOODZone’s broader annual reach of 186 community members engaged in violence prevention and trauma response (FY25)</w:t>
            </w:r>
          </w:p>
        </w:tc>
      </w:tr>
      <w:tr>
        <w:tc>
          <w:tcPr/>
          <w:p>
            <w:pPr>
              <w:pStyle w:val="Compact"/>
              <w:jc w:val="left"/>
            </w:pPr>
            <w:r>
              <w:t xml:space="preserve">Primary Outcome</w:t>
            </w:r>
          </w:p>
        </w:tc>
        <w:tc>
          <w:tcPr/>
          <w:p>
            <w:pPr>
              <w:pStyle w:val="Compact"/>
              <w:jc w:val="left"/>
            </w:pPr>
            <w:r>
              <w:t xml:space="preserve">Sustained reduction in violent crime in MPD PSA 105, GOODZone’s coverage area, which fell from 53 incidents in 2023 to 29 in 2024</w:t>
            </w:r>
          </w:p>
        </w:tc>
      </w:tr>
      <w:tr>
        <w:tc>
          <w:tcPr/>
          <w:p>
            <w:pPr>
              <w:pStyle w:val="Compact"/>
              <w:jc w:val="left"/>
            </w:pPr>
            <w:r>
              <w:t xml:space="preserve">Secondary Outcome</w:t>
            </w:r>
          </w:p>
        </w:tc>
        <w:tc>
          <w:tcPr/>
          <w:p>
            <w:pPr>
              <w:pStyle w:val="Compact"/>
              <w:jc w:val="left"/>
            </w:pPr>
            <w:r>
              <w:t xml:space="preserve">Expanded daily outreach coverage across five identified hotspot corridors: M Street SE, Buzzard Point, Syphax Gardens, Greenleaf Gardens, and the Waterfront Metro area</w:t>
            </w:r>
          </w:p>
        </w:tc>
      </w:tr>
      <w:tr>
        <w:tc>
          <w:tcPr/>
          <w:p>
            <w:pPr>
              <w:pStyle w:val="Compact"/>
              <w:jc w:val="left"/>
            </w:pPr>
            <w:r>
              <w:t xml:space="preserve">Measurement Method</w:t>
            </w:r>
          </w:p>
        </w:tc>
        <w:tc>
          <w:tcPr/>
          <w:p>
            <w:pPr>
              <w:pStyle w:val="Compact"/>
              <w:jc w:val="left"/>
            </w:pPr>
            <w:r>
              <w:t xml:space="preserve">MPD PSA 105 crime data, cross-referenced with GOODZone’s internal six-domain evaluation framework (violence reduction, participant stabilization, crisis response, employment placement, program reach, community perception)</w:t>
            </w:r>
          </w:p>
        </w:tc>
      </w:tr>
      <w:tr>
        <w:tc>
          <w:tcPr/>
          <w:p>
            <w:pPr>
              <w:pStyle w:val="Compact"/>
              <w:jc w:val="left"/>
            </w:pPr>
            <w:r>
              <w:t xml:space="preserve">Reporting Timeline</w:t>
            </w:r>
          </w:p>
        </w:tc>
        <w:tc>
          <w:tcPr/>
          <w:p>
            <w:pPr>
              <w:pStyle w:val="Compact"/>
              <w:jc w:val="left"/>
            </w:pPr>
            <w:r>
              <w:t xml:space="preserve">Mid-year and final report, or per Washington Gas’s specific reporting requirement once confirmed</w:t>
            </w:r>
          </w:p>
        </w:tc>
      </w:tr>
    </w:tbl>
    <w:bookmarkEnd w:id="30"/>
    <w:bookmarkStart w:id="31" w:name="corporate-partnership-opportunities"/>
    <w:p>
      <w:pPr>
        <w:pStyle w:val="Heading3"/>
      </w:pPr>
      <w:r>
        <w:t xml:space="preserve">Corporate Partnership Opportunities</w:t>
      </w:r>
    </w:p>
    <w:p>
      <w:pPr>
        <w:pStyle w:val="FirstParagraph"/>
      </w:pPr>
      <w:r>
        <w:t xml:space="preserve">Beyond this grant, Washington Gas could engage with GOODZone through employee volunteer shifts alongside our outreach team at community events, or through energy-safety education sessions for families enrolled in Family Success Planning. We would welcome a conversation about either.</w:t>
      </w:r>
    </w:p>
    <w:bookmarkEnd w:id="31"/>
    <w:bookmarkStart w:id="32" w:name="budget-summary"/>
    <w:p>
      <w:pPr>
        <w:pStyle w:val="Heading3"/>
      </w:pPr>
      <w:r>
        <w:t xml:space="preserve">Budget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Total Request</w:t>
            </w:r>
          </w:p>
        </w:tc>
        <w:tc>
          <w:tcPr/>
          <w:p>
            <w:pPr>
              <w:pStyle w:val="Compact"/>
              <w:jc w:val="left"/>
            </w:pPr>
            <w:r>
              <w:t xml:space="preserve">$12,000</w:t>
            </w:r>
          </w:p>
        </w:tc>
      </w:tr>
      <w:tr>
        <w:tc>
          <w:tcPr/>
          <w:p>
            <w:pPr>
              <w:pStyle w:val="Compact"/>
              <w:jc w:val="left"/>
            </w:pPr>
            <w:r>
              <w:t xml:space="preserve">Personnel</w:t>
            </w:r>
          </w:p>
        </w:tc>
        <w:tc>
          <w:tcPr/>
          <w:p>
            <w:pPr>
              <w:pStyle w:val="Compact"/>
              <w:jc w:val="left"/>
            </w:pPr>
            <w:r>
              <w:t xml:space="preserve">$12,000 (two Community Outreach Workers, $6,000/year each, per GOODZone’s FY2025-2026 program budget)</w:t>
            </w:r>
          </w:p>
        </w:tc>
      </w:tr>
      <w:tr>
        <w:tc>
          <w:tcPr/>
          <w:p>
            <w:pPr>
              <w:pStyle w:val="Compact"/>
              <w:jc w:val="left"/>
            </w:pPr>
            <w:r>
              <w:t xml:space="preserve">Program Costs</w:t>
            </w:r>
          </w:p>
        </w:tc>
        <w:tc>
          <w:tcPr/>
          <w:p>
            <w:pPr>
              <w:pStyle w:val="Compact"/>
              <w:jc w:val="left"/>
            </w:pPr>
            <w:r>
              <w:t xml:space="preserve">$0 (this request funds personnel only)</w:t>
            </w:r>
          </w:p>
        </w:tc>
      </w:tr>
      <w:tr>
        <w:tc>
          <w:tcPr/>
          <w:p>
            <w:pPr>
              <w:pStyle w:val="Compact"/>
              <w:jc w:val="left"/>
            </w:pPr>
            <w:r>
              <w:t xml:space="preserve">Indirect</w:t>
            </w:r>
          </w:p>
        </w:tc>
        <w:tc>
          <w:tcPr/>
          <w:p>
            <w:pPr>
              <w:pStyle w:val="Compact"/>
              <w:jc w:val="left"/>
            </w:pPr>
            <w:r>
              <w:t xml:space="preserve">$0 (dropped; some corporate community-investment programs do not allow indirect costs on grants this size, so this request is personnel-only to remove that risk entirely)</w:t>
            </w:r>
          </w:p>
        </w:tc>
      </w:tr>
      <w:tr>
        <w:tc>
          <w:tcPr/>
          <w:p>
            <w:pPr>
              <w:pStyle w:val="Compact"/>
              <w:jc w:val="left"/>
            </w:pPr>
            <w:r>
              <w:t xml:space="preserve">Other GOODProjects Funding for This Project</w:t>
            </w:r>
          </w:p>
        </w:tc>
        <w:tc>
          <w:tcPr/>
          <w:p>
            <w:pPr>
              <w:pStyle w:val="Compact"/>
              <w:jc w:val="left"/>
            </w:pPr>
            <w:r>
              <w:t xml:space="preserve">GOODZone’s FY2025-2026 program budget totals $624,000, of which $378,812.79 is already secured through ONSE’s FY26 Project Safe Neighborhood grant. This request adds incremental outreach capacity on top of existing, funded programming.</w:t>
            </w:r>
          </w:p>
        </w:tc>
      </w:tr>
    </w:tbl>
    <w:p>
      <w:r>
        <w:pict>
          <v:rect style="width:0;height:1.5pt" o:hralign="center" o:hrstd="t" o:hr="t"/>
        </w:pict>
      </w:r>
    </w:p>
    <w:bookmarkEnd w:id="32"/>
    <w:bookmarkEnd w:id="33"/>
    <w:bookmarkStart w:id="34" w:name="pre-submission-qa-gate"/>
    <w:p>
      <w:pPr>
        <w:pStyle w:val="Heading2"/>
      </w:pPr>
      <w:r>
        <w:t xml:space="preserve">PRE-SUBMISSION QA GATE</w:t>
      </w:r>
    </w:p>
    <w:p>
      <w:pPr>
        <w:numPr>
          <w:ilvl w:val="0"/>
          <w:numId w:val="1001"/>
        </w:numPr>
        <w:pStyle w:val="Compact"/>
      </w:pPr>
      <w:r>
        <w:rPr>
          <w:bCs/>
          <w:b/>
        </w:rPr>
        <w:t xml:space="preserve">01.</w:t>
      </w:r>
      <w:r>
        <w:t xml:space="preserve"> </w:t>
      </w:r>
      <w:r>
        <w:t xml:space="preserve">[x] All placeholders filled with real, verified figures</w:t>
      </w:r>
    </w:p>
    <w:p>
      <w:pPr>
        <w:numPr>
          <w:ilvl w:val="0"/>
          <w:numId w:val="1001"/>
        </w:numPr>
        <w:pStyle w:val="Compact"/>
      </w:pPr>
      <w:r>
        <w:rPr>
          <w:bCs/>
          <w:b/>
        </w:rPr>
        <w:t xml:space="preserve">02.</w:t>
      </w:r>
      <w:r>
        <w:t xml:space="preserve"> </w:t>
      </w:r>
      <w:r>
        <w:t xml:space="preserve">[x] Funder ask ($12,000) is within a reasonable range for the cap. Washington Gas has not published a per-grant cap, but $12,000 sits just below this cycle’s reported average grant size of $11,847 ($545,000 across 46 grants)</w:t>
      </w:r>
    </w:p>
    <w:p>
      <w:pPr>
        <w:numPr>
          <w:ilvl w:val="0"/>
          <w:numId w:val="1001"/>
        </w:numPr>
        <w:pStyle w:val="Compact"/>
      </w:pPr>
      <w:r>
        <w:rPr>
          <w:bCs/>
          <w:b/>
        </w:rPr>
        <w:t xml:space="preserve">03.</w:t>
      </w:r>
      <w:r>
        <w:t xml:space="preserve"> </w:t>
      </w:r>
      <w:r>
        <w:t xml:space="preserve">[x] Budget total matches the headline ask exactly ($12,000 personnel, no indirect)</w:t>
      </w:r>
    </w:p>
    <w:p>
      <w:pPr>
        <w:numPr>
          <w:ilvl w:val="0"/>
          <w:numId w:val="1001"/>
        </w:numPr>
        <w:pStyle w:val="Compact"/>
      </w:pPr>
      <w:r>
        <w:rPr>
          <w:bCs/>
          <w:b/>
        </w:rPr>
        <w:t xml:space="preserve">04.</w:t>
      </w:r>
      <w:r>
        <w:t xml:space="preserve"> </w:t>
      </w:r>
      <w:r>
        <w:t xml:space="preserve">[x] Indirect cost allowability resolved by dropping indirect entirely (personnel-only request), removing the open compliance question rather than leaving it unconfirmed</w:t>
      </w:r>
    </w:p>
    <w:p>
      <w:pPr>
        <w:numPr>
          <w:ilvl w:val="0"/>
          <w:numId w:val="1001"/>
        </w:numPr>
        <w:pStyle w:val="Compact"/>
      </w:pPr>
      <w:r>
        <w:rPr>
          <w:bCs/>
          <w:b/>
        </w:rPr>
        <w:t xml:space="preserve">05.</w:t>
      </w:r>
      <w:r>
        <w:t xml:space="preserve"> </w:t>
      </w:r>
      <w:r>
        <w:t xml:space="preserve">[x] No Cara Adams in the staffing section</w:t>
      </w:r>
    </w:p>
    <w:p>
      <w:pPr>
        <w:numPr>
          <w:ilvl w:val="0"/>
          <w:numId w:val="1001"/>
        </w:numPr>
        <w:pStyle w:val="Compact"/>
      </w:pPr>
      <w:r>
        <w:rPr>
          <w:bCs/>
          <w:b/>
        </w:rPr>
        <w:t xml:space="preserve">06.</w:t>
      </w:r>
      <w:r>
        <w:t xml:space="preserve"> </w:t>
      </w:r>
      <w:r>
        <w:t xml:space="preserve">[x] Address reads: 996 Maine Avenue SW, Suite 208, Washington, DC 20024 (not shown in this draft since no signature block was requested; add before submission)</w:t>
      </w:r>
    </w:p>
    <w:p>
      <w:pPr>
        <w:numPr>
          <w:ilvl w:val="0"/>
          <w:numId w:val="1001"/>
        </w:numPr>
        <w:pStyle w:val="Compact"/>
      </w:pPr>
      <w:r>
        <w:rPr>
          <w:bCs/>
          <w:b/>
        </w:rPr>
        <w:t xml:space="preserve">07.</w:t>
      </w:r>
      <w:r>
        <w:t xml:space="preserve"> </w:t>
      </w:r>
      <w:r>
        <w:t xml:space="preserve">[x] Geography confirmed: Ward 6, James Creek / Syphax Gardens / Greenleaf</w:t>
      </w:r>
    </w:p>
    <w:p>
      <w:pPr>
        <w:numPr>
          <w:ilvl w:val="0"/>
          <w:numId w:val="1001"/>
        </w:numPr>
        <w:pStyle w:val="Compact"/>
      </w:pPr>
      <w:r>
        <w:rPr>
          <w:bCs/>
          <w:b/>
        </w:rPr>
        <w:t xml:space="preserve">08.</w:t>
      </w:r>
      <w:r>
        <w:t xml:space="preserve"> </w:t>
      </w:r>
      <w:r>
        <w:t xml:space="preserve">[x] Executive summary tailored to Washington Gas’s</w:t>
      </w:r>
      <w:r>
        <w:t xml:space="preserve"> </w:t>
      </w:r>
      <w:r>
        <w:t xml:space="preserve">“</w:t>
      </w:r>
      <w:r>
        <w:t xml:space="preserve">safer neighborhoods</w:t>
      </w:r>
      <w:r>
        <w:t xml:space="preserve">”</w:t>
      </w:r>
      <w:r>
        <w:t xml:space="preserve"> </w:t>
      </w:r>
      <w:r>
        <w:t xml:space="preserve">priority</w:t>
      </w:r>
    </w:p>
    <w:p>
      <w:pPr>
        <w:numPr>
          <w:ilvl w:val="0"/>
          <w:numId w:val="1001"/>
        </w:numPr>
        <w:pStyle w:val="Compact"/>
      </w:pPr>
      <w:r>
        <w:rPr>
          <w:bCs/>
          <w:b/>
        </w:rPr>
        <w:t xml:space="preserve">09.</w:t>
      </w:r>
      <w:r>
        <w:t xml:space="preserve"> </w:t>
      </w:r>
      <w:r>
        <w:t xml:space="preserve">[x] Proof metrics chosen (crime data) match the funder’s stated priority area</w:t>
      </w:r>
    </w:p>
    <w:p>
      <w:pPr>
        <w:numPr>
          <w:ilvl w:val="0"/>
          <w:numId w:val="1001"/>
        </w:numPr>
        <w:pStyle w:val="Compact"/>
      </w:pPr>
      <w:r>
        <w:rPr>
          <w:bCs/>
          <w:b/>
        </w:rPr>
        <w:t xml:space="preserve">10.</w:t>
      </w:r>
      <w:r>
        <w:t xml:space="preserve"> </w:t>
      </w:r>
      <w:r>
        <w:t xml:space="preserve">[x] All dates valid and inside the project period</w:t>
      </w:r>
    </w:p>
    <w:p>
      <w:pPr>
        <w:numPr>
          <w:ilvl w:val="0"/>
          <w:numId w:val="1001"/>
        </w:numPr>
        <w:pStyle w:val="Compact"/>
      </w:pPr>
      <w:r>
        <w:rPr>
          <w:bCs/>
          <w:b/>
        </w:rPr>
        <w:t xml:space="preserve">11.</w:t>
      </w:r>
      <w:r>
        <w:t xml:space="preserve"> </w:t>
      </w:r>
      <w:r>
        <w:t xml:space="preserve">[ ] Attachments not yet assembled; see Open Items below</w:t>
      </w:r>
    </w:p>
    <w:p>
      <w:pPr>
        <w:numPr>
          <w:ilvl w:val="0"/>
          <w:numId w:val="1001"/>
        </w:numPr>
        <w:pStyle w:val="Compact"/>
      </w:pPr>
      <w:r>
        <w:rPr>
          <w:bCs/>
          <w:b/>
        </w:rPr>
        <w:t xml:space="preserve">12.</w:t>
      </w:r>
      <w:r>
        <w:t xml:space="preserve"> </w:t>
      </w:r>
      <w:r>
        <w:t xml:space="preserve">[ ] Darius Baxter has not yet signed; route through Neo first</w:t>
      </w:r>
    </w:p>
    <w:p>
      <w:pPr>
        <w:numPr>
          <w:ilvl w:val="0"/>
          <w:numId w:val="1001"/>
        </w:numPr>
        <w:pStyle w:val="Compact"/>
      </w:pPr>
      <w:r>
        <w:rPr>
          <w:bCs/>
          <w:b/>
        </w:rPr>
        <w:t xml:space="preserve">13.</w:t>
      </w:r>
      <w:r>
        <w:t xml:space="preserve"> </w:t>
      </w:r>
      <w:r>
        <w:t xml:space="preserve">[x] Humanize pass completed (no em or en dashes, no significance inflation, no vague attributions, no chatbot framing)</w:t>
      </w:r>
    </w:p>
    <w:p>
      <w:pPr>
        <w:numPr>
          <w:ilvl w:val="0"/>
          <w:numId w:val="1001"/>
        </w:numPr>
        <w:pStyle w:val="Compact"/>
      </w:pPr>
      <w:r>
        <w:rPr>
          <w:bCs/>
          <w:b/>
        </w:rPr>
        <w:t xml:space="preserve">14.</w:t>
      </w:r>
      <w:r>
        <w:t xml:space="preserve"> </w:t>
      </w:r>
      <w:r>
        <w:t xml:space="preserve">[x] PDF generated:</w:t>
      </w:r>
      <w:r>
        <w:t xml:space="preserve"> </w:t>
      </w:r>
      <w:r>
        <w:rPr>
          <w:rStyle w:val="VerbatimChar"/>
        </w:rPr>
        <w:t xml:space="preserve">2026-08-washington-gas-community-investment-goodzone.pdf</w:t>
      </w:r>
    </w:p>
    <w:p>
      <w:r>
        <w:pict>
          <v:rect style="width:0;height:1.5pt" o:hralign="center" o:hrstd="t" o:hr="t"/>
        </w:pict>
      </w:r>
    </w:p>
    <w:bookmarkEnd w:id="34"/>
    <w:bookmarkStart w:id="35" w:name="open-items-before-this-can-be-submitted"/>
    <w:p>
      <w:pPr>
        <w:pStyle w:val="Heading2"/>
      </w:pPr>
      <w:r>
        <w:t xml:space="preserve">OPEN ITEMS BEFORE THIS CAN BE SUBMITTED</w:t>
      </w:r>
    </w:p>
    <w:p>
      <w:pPr>
        <w:numPr>
          <w:ilvl w:val="0"/>
          <w:numId w:val="1002"/>
        </w:numPr>
        <w:pStyle w:val="Compact"/>
      </w:pPr>
      <w:r>
        <w:rPr>
          <w:bCs/>
          <w:b/>
        </w:rPr>
        <w:t xml:space="preserve">Confirm the application mechanics and that the second 2026 round is actually open.</w:t>
      </w:r>
      <w:r>
        <w:t xml:space="preserve"> </w:t>
      </w:r>
      <w:r>
        <w:t xml:space="preserve">Washington Gas’s site (washingtongas.com) was not reachable from this environment. Public search confirms the first 2026 round closed with $545,000 across 46 grants (announced May 19, 2026) and a second round is planned</w:t>
      </w:r>
      <w:r>
        <w:t xml:space="preserve"> </w:t>
      </w:r>
      <w:r>
        <w:t xml:space="preserve">“</w:t>
      </w:r>
      <w:r>
        <w:t xml:space="preserve">later this year,</w:t>
      </w:r>
      <w:r>
        <w:t xml:space="preserve">”</w:t>
      </w:r>
      <w:r>
        <w:t xml:space="preserve"> </w:t>
      </w:r>
      <w:r>
        <w:t xml:space="preserve">but no public date was found to confirm the August 1, 2026 deadline in the internal tracker. Someone will need to open the page directly, check for a live application, or reach out to Washington Gas’s community relations contact before submitting.</w:t>
      </w:r>
    </w:p>
    <w:p>
      <w:pPr>
        <w:numPr>
          <w:ilvl w:val="0"/>
          <w:numId w:val="1002"/>
        </w:numPr>
        <w:pStyle w:val="Compact"/>
      </w:pPr>
      <w:r>
        <w:rPr>
          <w:bCs/>
          <w:b/>
        </w:rPr>
        <w:t xml:space="preserve">Route to Neo for go/no-go</w:t>
      </w:r>
      <w:r>
        <w:t xml:space="preserve">, per standard workflow, before any submission.</w:t>
      </w:r>
    </w:p>
    <w:p>
      <w:pPr>
        <w:numPr>
          <w:ilvl w:val="0"/>
          <w:numId w:val="1002"/>
        </w:numPr>
        <w:pStyle w:val="Compact"/>
      </w:pPr>
      <w:r>
        <w:rPr>
          <w:bCs/>
          <w:b/>
        </w:rPr>
        <w:t xml:space="preserve">Assemble attachments</w:t>
      </w:r>
      <w:r>
        <w:t xml:space="preserve"> </w:t>
      </w:r>
      <w:r>
        <w:t xml:space="preserve">once the application format is confirmed: likely 501(c)(3) determination letter, W-9, and possibly the Certificate of Good Standing. All three are already on file in</w:t>
      </w:r>
      <w:r>
        <w:t xml:space="preserve"> </w:t>
      </w:r>
      <w:r>
        <w:rPr>
          <w:rStyle w:val="VerbatimChar"/>
        </w:rPr>
        <w:t xml:space="preserve">app/compliance/</w:t>
      </w:r>
      <w:r>
        <w:t xml:space="preserve">.</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2026-07-13T01:46:08Z</dcterms:created>
  <dcterms:modified xsi:type="dcterms:W3CDTF">2026-07-13T01:46:08Z</dcterms:modified>
</cp:coreProperties>
</file>

<file path=docProps/custom.xml><?xml version="1.0" encoding="utf-8"?>
<Properties xmlns="http://schemas.openxmlformats.org/officeDocument/2006/custom-properties" xmlns:vt="http://schemas.openxmlformats.org/officeDocument/2006/docPropsVTypes"/>
</file>