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Washington Gas Community Investment Program</w:t>
      </w:r>
      <w:r>
        <w:t xml:space="preserve"> </w:t>
      </w:r>
      <w:r>
        <w:t xml:space="preserve">AltaGas Versaic Portal Application, GOODZone Violence Interruption Program</w:t>
      </w:r>
      <w:r>
        <w:t xml:space="preserve"> </w:t>
      </w:r>
      <w:r>
        <w:t xml:space="preserve">Portal Answers (built against the actual portal questions)</w:t>
      </w:r>
    </w:p>
    <w:p>
      <w:pPr>
        <w:pStyle w:val="BodyText"/>
      </w:pPr>
      <w:r>
        <w:t xml:space="preserve">STATUS: Draft for Neo’s go/no-go review. Neo has previously confirmed go/no-go on this opportunity. Every answer below is exactly what should be entered into the AltaGas Versaic portal field, nothing more. All open decisions, sourcing, and confirmations needed are consolidated in the INTERNAL NOTES section at the end, which must never be pasted into any field.</w:t>
      </w:r>
    </w:p>
    <w:p>
      <w:pPr>
        <w:pStyle w:val="BodyText"/>
      </w:pPr>
      <w:r>
        <w:t xml:space="preserve">Deadline: confirm current cycle deadline directly in the portal before submitting (internal tracker previously logged August 1, 2026, but Washington Gas had not publicly opened a second 2026 round as of the last check).</w:t>
      </w:r>
    </w:p>
    <w:bookmarkStart w:id="20" w:name="entity-screening"/>
    <w:p>
      <w:pPr>
        <w:pStyle w:val="Heading2"/>
      </w:pPr>
      <w:r>
        <w:t xml:space="preserve">ENTITY &amp; SCREENING</w:t>
      </w:r>
    </w:p>
    <w:p>
      <w:pPr>
        <w:pStyle w:val="FirstParagraph"/>
      </w:pPr>
      <w:r>
        <w:rPr>
          <w:bCs/>
          <w:b/>
        </w:rPr>
        <w:t xml:space="preserve">Please select the entity you wish to apply for a grant with:</w:t>
      </w:r>
      <w:r>
        <w:t xml:space="preserve"> </w:t>
      </w:r>
      <w:r>
        <w:t xml:space="preserve">Washington Gas</w:t>
      </w:r>
    </w:p>
    <w:p>
      <w:pPr>
        <w:pStyle w:val="BodyText"/>
      </w:pPr>
      <w:r>
        <w:rPr>
          <w:bCs/>
          <w:b/>
        </w:rPr>
        <w:t xml:space="preserve">Is your request for support intended for any of the excluded categories (religious purpose, political organizations, strictly sports focus, individuals, capital or endowment campaigns)?</w:t>
      </w:r>
      <w:r>
        <w:t xml:space="preserve"> </w:t>
      </w:r>
      <w:r>
        <w:t xml:space="preserve">No</w:t>
      </w:r>
    </w:p>
    <w:bookmarkEnd w:id="20"/>
    <w:bookmarkStart w:id="21" w:name="organization-information"/>
    <w:p>
      <w:pPr>
        <w:pStyle w:val="Heading2"/>
      </w:pPr>
      <w:r>
        <w:t xml:space="preserve">ORGANIZATION INFORMATION</w:t>
      </w:r>
    </w:p>
    <w:p>
      <w:pPr>
        <w:pStyle w:val="FirstParagraph"/>
      </w:pPr>
      <w:r>
        <w:rPr>
          <w:bCs/>
          <w:b/>
        </w:rPr>
        <w:t xml:space="preserve">Organization name (official 501(c)3 listing)</w:t>
      </w:r>
      <w:r>
        <w:t xml:space="preserve"> </w:t>
      </w:r>
      <w:r>
        <w:t xml:space="preserve">GOODProjects, Inc.</w:t>
      </w:r>
    </w:p>
    <w:p>
      <w:pPr>
        <w:pStyle w:val="BodyText"/>
      </w:pPr>
      <w:r>
        <w:rPr>
          <w:bCs/>
          <w:b/>
        </w:rPr>
        <w:t xml:space="preserve">If your organization is a subsidiary, please list the parent organization</w:t>
      </w:r>
      <w:r>
        <w:t xml:space="preserve"> </w:t>
      </w:r>
      <w:r>
        <w:t xml:space="preserve">N/A</w:t>
      </w:r>
    </w:p>
    <w:p>
      <w:pPr>
        <w:pStyle w:val="BodyText"/>
      </w:pPr>
      <w:r>
        <w:rPr>
          <w:bCs/>
          <w:b/>
        </w:rPr>
        <w:t xml:space="preserve">Website URL of organization (or event)</w:t>
      </w:r>
      <w:r>
        <w:t xml:space="preserve"> </w:t>
      </w:r>
      <w:r>
        <w:t xml:space="preserve">goodprojects.org</w:t>
      </w:r>
    </w:p>
    <w:p>
      <w:pPr>
        <w:pStyle w:val="BodyText"/>
      </w:pPr>
      <w:r>
        <w:rPr>
          <w:bCs/>
          <w:b/>
        </w:rPr>
        <w:t xml:space="preserve">Is your organization a nonprofit or public tax-exempt organization under Section 501(c)3?</w:t>
      </w:r>
      <w:r>
        <w:t xml:space="preserve"> </w:t>
      </w:r>
      <w:r>
        <w:t xml:space="preserve">Yes</w:t>
      </w:r>
    </w:p>
    <w:p>
      <w:pPr>
        <w:pStyle w:val="BodyText"/>
      </w:pPr>
      <w:r>
        <w:rPr>
          <w:bCs/>
          <w:b/>
        </w:rPr>
        <w:t xml:space="preserve">Federal taxpayer ID number</w:t>
      </w:r>
      <w:r>
        <w:t xml:space="preserve"> </w:t>
      </w:r>
      <w:r>
        <w:t xml:space="preserve">81-1491594</w:t>
      </w:r>
    </w:p>
    <w:p>
      <w:pPr>
        <w:pStyle w:val="BodyText"/>
      </w:pPr>
      <w:r>
        <w:rPr>
          <w:bCs/>
          <w:b/>
        </w:rPr>
        <w:t xml:space="preserve">Contact First Name / Last Name / Job Title / Phone / Email</w:t>
      </w:r>
      <w:r>
        <w:t xml:space="preserve"> </w:t>
      </w:r>
      <w:r>
        <w:t xml:space="preserve">Neo Mangope, Fundraising &amp; Grants Officer, (202) 579-9605, neo@goodprojects.org</w:t>
      </w:r>
    </w:p>
    <w:p>
      <w:pPr>
        <w:pStyle w:val="BodyText"/>
      </w:pPr>
      <w:r>
        <w:rPr>
          <w:bCs/>
          <w:b/>
        </w:rPr>
        <w:t xml:space="preserve">Organization Address (line 1)</w:t>
      </w:r>
      <w:r>
        <w:t xml:space="preserve"> </w:t>
      </w:r>
      <w:r>
        <w:t xml:space="preserve">996 Maine Avenue SW</w:t>
      </w:r>
    </w:p>
    <w:p>
      <w:pPr>
        <w:pStyle w:val="BodyText"/>
      </w:pPr>
      <w:r>
        <w:rPr>
          <w:bCs/>
          <w:b/>
        </w:rPr>
        <w:t xml:space="preserve">Organization Address (line 2)</w:t>
      </w:r>
      <w:r>
        <w:t xml:space="preserve"> </w:t>
      </w:r>
      <w:r>
        <w:t xml:space="preserve">Suite 208</w:t>
      </w:r>
    </w:p>
    <w:p>
      <w:pPr>
        <w:pStyle w:val="BodyText"/>
      </w:pPr>
      <w:r>
        <w:rPr>
          <w:bCs/>
          <w:b/>
        </w:rPr>
        <w:t xml:space="preserve">Organization City</w:t>
      </w:r>
      <w:r>
        <w:t xml:space="preserve"> </w:t>
      </w:r>
      <w:r>
        <w:t xml:space="preserve">Washington</w:t>
      </w:r>
    </w:p>
    <w:p>
      <w:pPr>
        <w:pStyle w:val="BodyText"/>
      </w:pPr>
      <w:r>
        <w:rPr>
          <w:bCs/>
          <w:b/>
        </w:rPr>
        <w:t xml:space="preserve">Organization State</w:t>
      </w:r>
      <w:r>
        <w:t xml:space="preserve"> </w:t>
      </w:r>
      <w:r>
        <w:t xml:space="preserve">DC</w:t>
      </w:r>
    </w:p>
    <w:p>
      <w:pPr>
        <w:pStyle w:val="BodyText"/>
      </w:pPr>
      <w:r>
        <w:rPr>
          <w:bCs/>
          <w:b/>
        </w:rPr>
        <w:t xml:space="preserve">Zip Code</w:t>
      </w:r>
      <w:r>
        <w:t xml:space="preserve"> </w:t>
      </w:r>
      <w:r>
        <w:t xml:space="preserve">20024</w:t>
      </w:r>
    </w:p>
    <w:bookmarkEnd w:id="21"/>
    <w:bookmarkStart w:id="22" w:name="organization-narrative"/>
    <w:p>
      <w:pPr>
        <w:pStyle w:val="Heading2"/>
      </w:pPr>
      <w:r>
        <w:t xml:space="preserve">ORGANIZATION NARRATIVE</w:t>
      </w:r>
    </w:p>
    <w:p>
      <w:pPr>
        <w:pStyle w:val="FirstParagraph"/>
      </w:pPr>
      <w:r>
        <w:rPr>
          <w:bCs/>
          <w:b/>
        </w:rPr>
        <w:t xml:space="preserve">Provide a brief overview, history, and mission of your organization. (under 250 words)</w:t>
      </w:r>
      <w:r>
        <w:t xml:space="preserve"> </w:t>
      </w:r>
      <w:r>
        <w:t xml:space="preserve">GOODProjects is a Washington, DC nonprofit, founded in 2016, working to end the cycle of intergenerational poverty through a place-based, two-generation model. We pair children’s education and youth development with the economic mobility, food security, health, and stability of the adults around them, so progress in one generation reinforces the next. We serve residents of James Creek, Syphax Gardens, and Greenleaf, three public housing communities in Southwest DC’s Ward 6, where median household income is approximately $14,000 per year. Our work spans a four-phase continuum: Family Success Planning for parents and caregivers, GOODLearningHub afterschool programming for children ages 5 to 14, GOODZone violence interruption for residents ages 18 to 35, and JUMPSTART workforce development for youth and young adults. Since 2016, GOODProjects has invested $8 million in Ward 6 families and earned recognition from Forbes, CBS 60 Minutes, and NBC Nightly News. We have built lasting partnerships with the DC Department of Employment Services, DC Parks and Recreation, and more than 20 community organizations. GOODZone, the program at the center of this request, has helped drive a 45 percent reduction in violent crime in its coverage area over the past two years, compared to a 12 percent increase citywide over the same period. Our mission is to give every family in our community the tools and support to build lasting stability, opportunity, and safety, one generation at a time.</w:t>
      </w:r>
      <w:r>
        <w:t xml:space="preserve"> </w:t>
      </w:r>
      <w:r>
        <w:rPr>
          <w:iCs/>
          <w:i/>
        </w:rPr>
        <w:t xml:space="preserve">(229 words)</w:t>
      </w:r>
    </w:p>
    <w:p>
      <w:pPr>
        <w:pStyle w:val="BodyText"/>
      </w:pPr>
      <w:r>
        <w:rPr>
          <w:bCs/>
          <w:b/>
        </w:rPr>
        <w:t xml:space="preserve">How does your organization measure impact?</w:t>
      </w:r>
      <w:r>
        <w:t xml:space="preserve"> </w:t>
      </w:r>
      <w:r>
        <w:t xml:space="preserve">GOODProjects tracks outcomes through an internal six-domain evaluation framework covering violence reduction, participant stabilization, crisis response, employment placement, program reach, and community perception. For GOODZone specifically, we cross-reference our internal data with MPD PSA 105 crime statistics to track violent incident trends in our coverage area over time.</w:t>
      </w:r>
    </w:p>
    <w:p>
      <w:pPr>
        <w:pStyle w:val="BodyText"/>
      </w:pPr>
      <w:r>
        <w:rPr>
          <w:bCs/>
          <w:b/>
        </w:rPr>
        <w:t xml:space="preserve">Does your organization have any previous or currently pending legal actions against it?</w:t>
      </w:r>
      <w:r>
        <w:t xml:space="preserve"> </w:t>
      </w:r>
      <w:r>
        <w:t xml:space="preserve">No</w:t>
      </w:r>
    </w:p>
    <w:bookmarkEnd w:id="22"/>
    <w:bookmarkStart w:id="24" w:name="project-details"/>
    <w:p>
      <w:pPr>
        <w:pStyle w:val="Heading2"/>
      </w:pPr>
      <w:r>
        <w:t xml:space="preserve">PROJECT DETAILS</w:t>
      </w:r>
    </w:p>
    <w:p>
      <w:pPr>
        <w:pStyle w:val="FirstParagraph"/>
      </w:pPr>
      <w:r>
        <w:rPr>
          <w:bCs/>
          <w:b/>
        </w:rPr>
        <w:t xml:space="preserve">What is the name of this project?</w:t>
      </w:r>
      <w:r>
        <w:t xml:space="preserve"> </w:t>
      </w:r>
      <w:r>
        <w:t xml:space="preserve">GOODZone Violence Interruption Program</w:t>
      </w:r>
    </w:p>
    <w:p>
      <w:pPr>
        <w:pStyle w:val="BodyText"/>
      </w:pPr>
      <w:r>
        <w:rPr>
          <w:bCs/>
          <w:b/>
        </w:rPr>
        <w:t xml:space="preserve">Please indicate which funding area best describes the program or project (select only one).</w:t>
      </w:r>
      <w:r>
        <w:t xml:space="preserve"> </w:t>
      </w:r>
      <w:r>
        <w:t xml:space="preserve">Safe Communities</w:t>
      </w:r>
    </w:p>
    <w:p>
      <w:pPr>
        <w:pStyle w:val="BodyText"/>
      </w:pPr>
      <w:r>
        <w:rPr>
          <w:bCs/>
          <w:b/>
        </w:rPr>
        <w:t xml:space="preserve">Select the type of grant you are requesting funding for.</w:t>
      </w:r>
      <w:r>
        <w:t xml:space="preserve"> </w:t>
      </w:r>
      <w:r>
        <w:t xml:space="preserve">Direct program support</w:t>
      </w:r>
    </w:p>
    <w:p>
      <w:pPr>
        <w:pStyle w:val="BodyText"/>
      </w:pPr>
      <w:r>
        <w:rPr>
          <w:bCs/>
          <w:b/>
        </w:rPr>
        <w:t xml:space="preserve">Provide a brief description of the request. (under 250 words)</w:t>
      </w:r>
      <w:r>
        <w:t xml:space="preserve"> </w:t>
      </w:r>
      <w:r>
        <w:t xml:space="preserve">GOODProjects respectfully requests $13,200 from Washington Gas’s Community Investment Program to fund two additional Community Outreach Workers for one year, extending GOODZone’s daily street-level presence in Ward 6’s highest-risk corridors. GOODZone is GOODProjects’ violence interruption program, deploying Credible Messengers, Outreach Workers, and Crisis Intervention Specialists, all with direct lived experience of violence and incarceration, across five identified hotspot corridors: M Street SE, Buzzard Point, Syphax Gardens, Greenleaf Gardens, and the Waterfront Metro area. Outreach Workers build the daily trust that lets the team mediate conflicts before they turn violent, and the team activates within 48 hours of any shooting or major conflict to stabilize affected individuals and families. Over the past six years, GOODZone’s coverage area recorded 249 violent incidents, compared with 601 in a neighboring area, despite serving a lower-income population. Violent crime in the GOODZone fell from 53 incidents in 2023 to 29 in 2024, a 45 percent reduction, compared to a 12 percent increase in violent crime citywide over the same period. Sustaining that decline requires continued street-level presence, and current funding covers a smaller outreach team than the corridors require. This request adds incremental daily coverage on top of GOODZone’s existing, funded programming.</w:t>
      </w:r>
      <w:r>
        <w:t xml:space="preserve"> </w:t>
      </w:r>
      <w:r>
        <w:rPr>
          <w:iCs/>
          <w:i/>
        </w:rPr>
        <w:t xml:space="preserve">(197 words)</w:t>
      </w:r>
    </w:p>
    <w:p>
      <w:pPr>
        <w:pStyle w:val="BodyText"/>
      </w:pPr>
      <w:r>
        <w:rPr>
          <w:bCs/>
          <w:b/>
        </w:rPr>
        <w:t xml:space="preserve">Please select all the counties/areas your project will directly impact.</w:t>
      </w:r>
      <w:r>
        <w:t xml:space="preserve"> </w:t>
      </w:r>
      <w:r>
        <w:t xml:space="preserve">District of Columbia</w:t>
      </w:r>
    </w:p>
    <w:bookmarkStart w:id="23" w:name="fund-allocation-by-jurisdiction"/>
    <w:p>
      <w:pPr>
        <w:pStyle w:val="Heading3"/>
      </w:pPr>
      <w:r>
        <w:t xml:space="preserve">Fund Allocation by Jurisdiction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Jurisdiction</w:t>
            </w:r>
          </w:p>
        </w:tc>
        <w:tc>
          <w:tcPr/>
          <w:p>
            <w:pPr>
              <w:pStyle w:val="Compact"/>
              <w:jc w:val="left"/>
            </w:pPr>
            <w:r>
              <w:t xml:space="preserve">Amount Proposed</w:t>
            </w:r>
          </w:p>
        </w:tc>
      </w:tr>
      <w:tr>
        <w:tc>
          <w:tcPr/>
          <w:p>
            <w:pPr>
              <w:pStyle w:val="Compact"/>
              <w:jc w:val="left"/>
            </w:pPr>
            <w:r>
              <w:t xml:space="preserve">West Virginia</w:t>
            </w:r>
          </w:p>
        </w:tc>
        <w:tc>
          <w:tcPr/>
          <w:p>
            <w:pPr>
              <w:pStyle w:val="Compact"/>
              <w:jc w:val="left"/>
            </w:pPr>
            <w:r>
              <w:t xml:space="preserve">0</w:t>
            </w:r>
          </w:p>
        </w:tc>
      </w:tr>
      <w:tr>
        <w:tc>
          <w:tcPr/>
          <w:p>
            <w:pPr>
              <w:pStyle w:val="Compact"/>
              <w:jc w:val="left"/>
            </w:pPr>
            <w:r>
              <w:t xml:space="preserve">DC</w:t>
            </w:r>
          </w:p>
        </w:tc>
        <w:tc>
          <w:tcPr/>
          <w:p>
            <w:pPr>
              <w:pStyle w:val="Compact"/>
              <w:jc w:val="left"/>
            </w:pPr>
            <w:r>
              <w:t xml:space="preserve">13,200</w:t>
            </w:r>
          </w:p>
        </w:tc>
      </w:tr>
      <w:tr>
        <w:tc>
          <w:tcPr/>
          <w:p>
            <w:pPr>
              <w:pStyle w:val="Compact"/>
              <w:jc w:val="left"/>
            </w:pPr>
            <w:r>
              <w:t xml:space="preserve">MD</w:t>
            </w:r>
          </w:p>
        </w:tc>
        <w:tc>
          <w:tcPr/>
          <w:p>
            <w:pPr>
              <w:pStyle w:val="Compact"/>
              <w:jc w:val="left"/>
            </w:pPr>
            <w:r>
              <w:t xml:space="preserve">0</w:t>
            </w:r>
          </w:p>
        </w:tc>
      </w:tr>
      <w:tr>
        <w:tc>
          <w:tcPr/>
          <w:p>
            <w:pPr>
              <w:pStyle w:val="Compact"/>
              <w:jc w:val="left"/>
            </w:pPr>
            <w:r>
              <w:t xml:space="preserve">VA</w:t>
            </w:r>
          </w:p>
        </w:tc>
        <w:tc>
          <w:tcPr/>
          <w:p>
            <w:pPr>
              <w:pStyle w:val="Compact"/>
              <w:jc w:val="left"/>
            </w:pPr>
            <w:r>
              <w:t xml:space="preserve">0</w:t>
            </w:r>
          </w:p>
        </w:tc>
      </w:tr>
    </w:tbl>
    <w:p>
      <w:pPr>
        <w:pStyle w:val="BodyText"/>
      </w:pPr>
      <w:r>
        <w:rPr>
          <w:bCs/>
          <w:b/>
        </w:rPr>
        <w:t xml:space="preserve">Describe why Washington Gas is an appropriate donor and how the local community will benefit from the program.</w:t>
      </w:r>
      <w:r>
        <w:t xml:space="preserve"> </w:t>
      </w:r>
      <w:r>
        <w:t xml:space="preserve">Washington Gas serves the same DC neighborhoods where GOODZone operates, and the company’s Community Investment Program prioritizes safer neighborhoods across the region. GOODZone’s daily outreach directly reduces gun violence in Southwest DC’s public housing communities, where residents face some of the highest poverty rates and lowest household incomes in the district. GOODZone’s coverage area has already seen a 45 percent reduction in violent crime over the past two years, compared to a 12 percent citywide increase over the same period. A gift from Washington Gas would extend that outreach coverage, helping sustain a documented decline in violent crime and strengthening a company that already serves these same residents as utility customers.</w:t>
      </w:r>
    </w:p>
    <w:p>
      <w:pPr>
        <w:pStyle w:val="BodyText"/>
      </w:pPr>
      <w:r>
        <w:rPr>
          <w:bCs/>
          <w:b/>
        </w:rPr>
        <w:t xml:space="preserve">What is the total amount you are requesting?</w:t>
      </w:r>
      <w:r>
        <w:t xml:space="preserve"> </w:t>
      </w:r>
      <w:r>
        <w:t xml:space="preserve">13,200</w:t>
      </w:r>
    </w:p>
    <w:p>
      <w:pPr>
        <w:pStyle w:val="BodyText"/>
      </w:pPr>
      <w:r>
        <w:rPr>
          <w:bCs/>
          <w:b/>
        </w:rPr>
        <w:t xml:space="preserve">Project Length/Grant Term</w:t>
      </w:r>
      <w:r>
        <w:t xml:space="preserve"> </w:t>
      </w:r>
      <w:r>
        <w:t xml:space="preserve">12 months</w:t>
      </w:r>
    </w:p>
    <w:p>
      <w:pPr>
        <w:pStyle w:val="BodyText"/>
      </w:pPr>
      <w:r>
        <w:rPr>
          <w:bCs/>
          <w:b/>
        </w:rPr>
        <w:t xml:space="preserve">Is this event for an event related sponsorship?</w:t>
      </w:r>
      <w:r>
        <w:t xml:space="preserve"> </w:t>
      </w:r>
      <w:r>
        <w:t xml:space="preserve">No</w:t>
      </w:r>
    </w:p>
    <w:p>
      <w:pPr>
        <w:pStyle w:val="BodyText"/>
      </w:pPr>
      <w:r>
        <w:rPr>
          <w:bCs/>
          <w:b/>
        </w:rPr>
        <w:t xml:space="preserve">Please indicate the type of support for your request.</w:t>
      </w:r>
      <w:r>
        <w:t xml:space="preserve"> </w:t>
      </w:r>
      <w:r>
        <w:t xml:space="preserve">Program Support</w:t>
      </w:r>
    </w:p>
    <w:p>
      <w:pPr>
        <w:pStyle w:val="BodyText"/>
      </w:pPr>
      <w:r>
        <w:rPr>
          <w:bCs/>
          <w:b/>
        </w:rPr>
        <w:t xml:space="preserve">Is this a new initiative?</w:t>
      </w:r>
      <w:r>
        <w:t xml:space="preserve"> </w:t>
      </w:r>
      <w:r>
        <w:t xml:space="preserve">No, this expands an existing, currently funded program rather than launching something new.</w:t>
      </w:r>
    </w:p>
    <w:p>
      <w:pPr>
        <w:pStyle w:val="BodyText"/>
      </w:pPr>
      <w:r>
        <w:rPr>
          <w:bCs/>
          <w:b/>
        </w:rPr>
        <w:t xml:space="preserve">How have you funded it in the past?</w:t>
      </w:r>
      <w:r>
        <w:t xml:space="preserve"> </w:t>
      </w:r>
      <w:r>
        <w:t xml:space="preserve">GOODZone’s FY2025-2026 program budget totals $624,000, of which $378,812.79 is already secured through ONSE’s FY26 Project Safe Neighborhood grant. This request adds incremental outreach capacity on top of that existing, funded programming.</w:t>
      </w:r>
    </w:p>
    <w:p>
      <w:pPr>
        <w:pStyle w:val="BodyText"/>
      </w:pPr>
      <w:r>
        <w:rPr>
          <w:bCs/>
          <w:b/>
        </w:rPr>
        <w:t xml:space="preserve">Enter the anticipated start date.</w:t>
      </w:r>
      <w:r>
        <w:t xml:space="preserve"> </w:t>
      </w:r>
      <w:r>
        <w:t xml:space="preserve">Upon award</w:t>
      </w:r>
    </w:p>
    <w:p>
      <w:pPr>
        <w:pStyle w:val="BodyText"/>
      </w:pPr>
      <w:r>
        <w:rPr>
          <w:bCs/>
          <w:b/>
        </w:rPr>
        <w:t xml:space="preserve">Total Project Budget</w:t>
      </w:r>
      <w:r>
        <w:t xml:space="preserve"> </w:t>
      </w:r>
      <w:r>
        <w:t xml:space="preserve">13,200</w:t>
      </w:r>
    </w:p>
    <w:p>
      <w:pPr>
        <w:pStyle w:val="BodyText"/>
      </w:pPr>
      <w:r>
        <w:rPr>
          <w:bCs/>
          <w:b/>
        </w:rPr>
        <w:t xml:space="preserve">What financial controls or processes are in place to track the budget and ensure funds are used as intended?</w:t>
      </w:r>
      <w:r>
        <w:t xml:space="preserve"> </w:t>
      </w:r>
      <w:r>
        <w:t xml:space="preserve">Cole Bradshaw, GOODProjects’ Finance and Operations lead, verifies all budget figures and fringe rates before submission and tracks expenditures against approved budgets throughout the grant period. Grant funds are tracked separately by program line to ensure funds are used as intended.</w:t>
      </w:r>
    </w:p>
    <w:p>
      <w:pPr>
        <w:pStyle w:val="BodyText"/>
      </w:pPr>
      <w:r>
        <w:rPr>
          <w:bCs/>
          <w:b/>
        </w:rPr>
        <w:t xml:space="preserve">What are your long-term plans for this project?</w:t>
      </w:r>
      <w:r>
        <w:t xml:space="preserve"> </w:t>
      </w:r>
      <w:r>
        <w:t xml:space="preserve">GOODProjects will continue seeking diversified funding, corporate, foundation, and government, to sustain and grow GOODZone’s outreach capacity, with the goal of expanding coverage to additional hotspot corridors as violent crime trends and community need evolve.</w:t>
      </w:r>
    </w:p>
    <w:p>
      <w:pPr>
        <w:pStyle w:val="BodyText"/>
      </w:pPr>
      <w:r>
        <w:rPr>
          <w:bCs/>
          <w:b/>
        </w:rPr>
        <w:t xml:space="preserve">Describe the criteria you will use to determine whether or not the project is successful.</w:t>
      </w:r>
      <w:r>
        <w:t xml:space="preserve"> </w:t>
      </w:r>
      <w:r>
        <w:t xml:space="preserve">Success is measured by a sustained or continued decline in violent incidents within MPD PSA 105, GOODZone’s coverage area, alongside consistent daily outreach coverage across all five identified hotspot corridors and timely crisis response within 48 hours of any shooting or major conflict.</w:t>
      </w:r>
    </w:p>
    <w:p>
      <w:pPr>
        <w:pStyle w:val="BodyText"/>
      </w:pPr>
      <w:r>
        <w:rPr>
          <w:bCs/>
          <w:b/>
        </w:rPr>
        <w:t xml:space="preserve">How will you measure success of your program/event? Please provide desired outputs and outcomes.</w:t>
      </w:r>
      <w:r>
        <w:t xml:space="preserve"> </w:t>
      </w:r>
      <w:r>
        <w:t xml:space="preserve">Outputs: daily outreach shifts covering five hotspot corridors, crisis response activations within 48 hours of major incidents. Outcomes: sustained reduction in violent incidents in MPD PSA 105, a 45 percent decline (53 incidents in 2023 to 29 in 2024) against a 12 percent citywide increase over the same period, contributing to GOODZone’s broader annual reach of 186 community members engaged in violence prevention and trauma response (FY25).</w:t>
      </w:r>
    </w:p>
    <w:p>
      <w:pPr>
        <w:pStyle w:val="BodyText"/>
      </w:pPr>
      <w:r>
        <w:rPr>
          <w:bCs/>
          <w:b/>
        </w:rPr>
        <w:t xml:space="preserve">How are you promoting this program/event to the community?</w:t>
      </w:r>
      <w:r>
        <w:t xml:space="preserve"> </w:t>
      </w:r>
      <w:r>
        <w:t xml:space="preserve">GOODZone builds community awareness through direct daily outreach in target corridors, partnerships with more than 20 community organizations, and coverage from outlets including Forbes, CBS 60 Minutes, and NBC Nightly News.</w:t>
      </w:r>
    </w:p>
    <w:p>
      <w:pPr>
        <w:pStyle w:val="BodyText"/>
      </w:pPr>
      <w:r>
        <w:rPr>
          <w:bCs/>
          <w:b/>
        </w:rPr>
        <w:t xml:space="preserve">Does this project have any volunteer opportunities for Washington Gas employees?</w:t>
      </w:r>
      <w:r>
        <w:t xml:space="preserve"> </w:t>
      </w:r>
      <w:r>
        <w:t xml:space="preserve">Yes. Employee volunteer shifts alongside the outreach team at community events, or energy-safety education sessions for families enrolled in Family Success Planning.</w:t>
      </w:r>
    </w:p>
    <w:p>
      <w:pPr>
        <w:pStyle w:val="BodyText"/>
      </w:pPr>
      <w:r>
        <w:rPr>
          <w:bCs/>
          <w:b/>
        </w:rPr>
        <w:t xml:space="preserve">What are your long-term plans for this program or use of funds?</w:t>
      </w:r>
      <w:r>
        <w:t xml:space="preserve"> </w:t>
      </w:r>
      <w:r>
        <w:t xml:space="preserve">GOODProjects will continue seeking diversified funding, corporate, foundation, and government, to sustain and grow GOODZone’s outreach capacity, with the goal of expanding coverage to additional hotspot corridors as violent crime trends and community need evolve.</w:t>
      </w:r>
    </w:p>
    <w:p>
      <w:pPr>
        <w:pStyle w:val="BodyText"/>
      </w:pPr>
      <w:r>
        <w:rPr>
          <w:bCs/>
          <w:b/>
        </w:rPr>
        <w:t xml:space="preserve">Describe how you will assess whether this initiative is successful.</w:t>
      </w:r>
      <w:r>
        <w:t xml:space="preserve"> </w:t>
      </w:r>
      <w:r>
        <w:t xml:space="preserve">Success is measured by a sustained or continued decline in violent incidents within MPD PSA 105, GOODZone’s coverage area, alongside consistent daily outreach coverage across all five identified hotspot corridors and timely crisis response within 48 hours of any shooting or major conflict.</w:t>
      </w:r>
    </w:p>
    <w:p>
      <w:r>
        <w:pict>
          <v:rect style="width:0;height:1.5pt" o:hralign="center" o:hrstd="t" o:hr="t"/>
        </w:pict>
      </w:r>
    </w:p>
    <w:bookmarkEnd w:id="23"/>
    <w:bookmarkEnd w:id="24"/>
    <w:bookmarkStart w:id="25" w:name="Xfe8a1c684b6f8a35105bfcefc9c0e929587bfa1"/>
    <w:p>
      <w:pPr>
        <w:pStyle w:val="Heading2"/>
      </w:pPr>
      <w:r>
        <w:t xml:space="preserve">INTERNAL NOTES: DO NOT PASTE INTO THE APPLICATION</w:t>
      </w:r>
    </w:p>
    <w:p>
      <w:pPr>
        <w:pStyle w:val="FirstParagraph"/>
      </w:pPr>
      <w:r>
        <w:t xml:space="preserve">These notes exist so nothing gets missed before submission. None of this text belongs in any portal field.</w:t>
      </w:r>
    </w:p>
    <w:p>
      <w:pPr>
        <w:numPr>
          <w:ilvl w:val="0"/>
          <w:numId w:val="1001"/>
        </w:numPr>
        <w:pStyle w:val="Compact"/>
      </w:pPr>
      <w:r>
        <w:rPr>
          <w:bCs/>
          <w:b/>
        </w:rPr>
        <w:t xml:space="preserve">Contact person</w:t>
      </w:r>
      <w:r>
        <w:t xml:space="preserve">: set to Neo Mangope because Neo has complete, verified contact information on file and holds the Fundraising &amp; Grants Officer title. The source draft flagged this as a three-way decision between Darius Baxter, Neo Mangope, or Dumisani. If Neo prefers Darius as the named contact (matching his role as authorized signatory on other submissions), swap it in, but note Darius does not have a phone number on file anywhere in GOODProjects’ records; one would need to be sourced first.</w:t>
      </w:r>
    </w:p>
    <w:p>
      <w:pPr>
        <w:numPr>
          <w:ilvl w:val="0"/>
          <w:numId w:val="1001"/>
        </w:numPr>
        <w:pStyle w:val="Compact"/>
      </w:pPr>
      <w:r>
        <w:rPr>
          <w:bCs/>
          <w:b/>
        </w:rPr>
        <w:t xml:space="preserve">Website URL</w:t>
      </w:r>
      <w:r>
        <w:t xml:space="preserve">: the source draft flagged this as an open item over</w:t>
      </w:r>
      <w:r>
        <w:t xml:space="preserve"> </w:t>
      </w:r>
      <w:r>
        <w:t xml:space="preserve">“</w:t>
      </w:r>
      <w:r>
        <w:t xml:space="preserve">contractual non-disclosure constraints on public-facing content.</w:t>
      </w:r>
      <w:r>
        <w:t xml:space="preserve">”</w:t>
      </w:r>
      <w:r>
        <w:t xml:space="preserve"> </w:t>
      </w:r>
      <w:r>
        <w:t xml:space="preserve">GOODProjects’ public marketing website (goodprojects.org) is, by definition, meant to be public, and is already listed as the organization’s website in</w:t>
      </w:r>
      <w:r>
        <w:t xml:space="preserve"> </w:t>
      </w:r>
      <w:r>
        <w:rPr>
          <w:rStyle w:val="VerbatimChar"/>
        </w:rPr>
        <w:t xml:space="preserve">01-org-identity.md</w:t>
      </w:r>
      <w:r>
        <w:t xml:space="preserve">. Filled it in on that basis. If there is a specific non-disclosure agreement covering this that isn’t reflected in the org profile, flag it and pull the URL before submitting.</w:t>
      </w:r>
    </w:p>
    <w:p>
      <w:pPr>
        <w:numPr>
          <w:ilvl w:val="0"/>
          <w:numId w:val="1001"/>
        </w:numPr>
        <w:pStyle w:val="Compact"/>
      </w:pPr>
      <w:r>
        <w:rPr>
          <w:bCs/>
          <w:b/>
        </w:rPr>
        <w:t xml:space="preserve">Legal actions</w:t>
      </w:r>
      <w:r>
        <w:t xml:space="preserve">: answered No, consistent with the source draft’s own answer. Confirm this is still accurate with Neo or Cole before submission, since it is a factual certification, not a judgment call.</w:t>
      </w:r>
    </w:p>
    <w:p>
      <w:pPr>
        <w:numPr>
          <w:ilvl w:val="0"/>
          <w:numId w:val="1001"/>
        </w:numPr>
        <w:pStyle w:val="Compact"/>
      </w:pPr>
      <w:r>
        <w:rPr>
          <w:bCs/>
          <w:b/>
        </w:rPr>
        <w:t xml:space="preserve">“</w:t>
      </w:r>
      <w:r>
        <w:rPr>
          <w:bCs/>
          <w:b/>
        </w:rPr>
        <w:t xml:space="preserve">Type of support</w:t>
      </w:r>
      <w:r>
        <w:rPr>
          <w:bCs/>
          <w:b/>
        </w:rPr>
        <w:t xml:space="preserve">”</w:t>
      </w:r>
      <w:r>
        <w:rPr>
          <w:bCs/>
          <w:b/>
        </w:rPr>
        <w:t xml:space="preserve"> </w:t>
      </w:r>
      <w:r>
        <w:rPr>
          <w:bCs/>
          <w:b/>
        </w:rPr>
        <w:t xml:space="preserve">dropdown</w:t>
      </w:r>
      <w:r>
        <w:t xml:space="preserve">: could not retrieve the live portal’s actual dropdown options (site not reachable from this environment, and no public documentation of Versaic’s exact field labels for this funder was found). Filled in</w:t>
      </w:r>
      <w:r>
        <w:t xml:space="preserve"> </w:t>
      </w:r>
      <w:r>
        <w:t xml:space="preserve">“</w:t>
      </w:r>
      <w:r>
        <w:t xml:space="preserve">Program Support</w:t>
      </w:r>
      <w:r>
        <w:t xml:space="preserve">”</w:t>
      </w:r>
      <w:r>
        <w:t xml:space="preserve"> </w:t>
      </w:r>
      <w:r>
        <w:t xml:space="preserve">as the best match, consistent with</w:t>
      </w:r>
      <w:r>
        <w:t xml:space="preserve"> </w:t>
      </w:r>
      <w:r>
        <w:t xml:space="preserve">“</w:t>
      </w:r>
      <w:r>
        <w:t xml:space="preserve">Direct program support</w:t>
      </w:r>
      <w:r>
        <w:t xml:space="preserve">”</w:t>
      </w:r>
      <w:r>
        <w:t xml:space="preserve"> </w:t>
      </w:r>
      <w:r>
        <w:t xml:space="preserve">already selected elsewhere on the form and with this not being a sponsorship or in-kind request. Verify the exact dropdown label against the live portal before submitting; it may read</w:t>
      </w:r>
      <w:r>
        <w:t xml:space="preserve"> </w:t>
      </w:r>
      <w:r>
        <w:t xml:space="preserve">“</w:t>
      </w:r>
      <w:r>
        <w:t xml:space="preserve">Program/Project Support</w:t>
      </w:r>
      <w:r>
        <w:t xml:space="preserve">”</w:t>
      </w:r>
      <w:r>
        <w:t xml:space="preserve"> </w:t>
      </w:r>
      <w:r>
        <w:t xml:space="preserve">or similar.</w:t>
      </w:r>
    </w:p>
    <w:p>
      <w:pPr>
        <w:numPr>
          <w:ilvl w:val="0"/>
          <w:numId w:val="1001"/>
        </w:numPr>
        <w:pStyle w:val="Compact"/>
      </w:pPr>
      <w:r>
        <w:rPr>
          <w:bCs/>
          <w:b/>
        </w:rPr>
        <w:t xml:space="preserve">Anticipated start date</w:t>
      </w:r>
      <w:r>
        <w:t xml:space="preserve">: filled in</w:t>
      </w:r>
      <w:r>
        <w:t xml:space="preserve"> </w:t>
      </w:r>
      <w:r>
        <w:t xml:space="preserve">“</w:t>
      </w:r>
      <w:r>
        <w:t xml:space="preserve">Upon award</w:t>
      </w:r>
      <w:r>
        <w:t xml:space="preserve">”</w:t>
      </w:r>
      <w:r>
        <w:t xml:space="preserve"> </w:t>
      </w:r>
      <w:r>
        <w:t xml:space="preserve">as a safe default. If the portal requires a specific calendar date rather than accepting</w:t>
      </w:r>
      <w:r>
        <w:t xml:space="preserve"> </w:t>
      </w:r>
      <w:r>
        <w:t xml:space="preserve">“</w:t>
      </w:r>
      <w:r>
        <w:t xml:space="preserve">Upon award,</w:t>
      </w:r>
      <w:r>
        <w:t xml:space="preserve">”</w:t>
      </w:r>
      <w:r>
        <w:t xml:space="preserve"> </w:t>
      </w:r>
      <w:r>
        <w:t xml:space="preserve">Neo or Cole should confirm whether GOODZone can absorb two new Outreach Workers starting immediately upon a decision, or needs a specific fiscal-year-aligned date.</w:t>
      </w:r>
    </w:p>
    <w:p>
      <w:pPr>
        <w:numPr>
          <w:ilvl w:val="0"/>
          <w:numId w:val="1001"/>
        </w:numPr>
        <w:pStyle w:val="Compact"/>
      </w:pPr>
      <w:r>
        <w:rPr>
          <w:bCs/>
          <w:b/>
        </w:rPr>
        <w:t xml:space="preserve">Total Project Budget</w:t>
      </w:r>
      <w:r>
        <w:t xml:space="preserve">: set to $13,200 to match the total amount requested, since this line refers to the budget of the specific project being funded (two Outreach Workers for one year), not GOODZone’s full $624,000 annual program budget. This matches the source draft’s own recommendation.</w:t>
      </w:r>
    </w:p>
    <w:p>
      <w:pPr>
        <w:numPr>
          <w:ilvl w:val="0"/>
          <w:numId w:val="1001"/>
        </w:numPr>
        <w:pStyle w:val="Compact"/>
      </w:pPr>
      <w:r>
        <w:rPr>
          <w:bCs/>
          <w:b/>
        </w:rPr>
        <w:t xml:space="preserve">Deadline</w:t>
      </w:r>
      <w:r>
        <w:t xml:space="preserve">: the internal tracker previously logged August 1, 2026, but as of the last check, Washington Gas had not publicly opened a second 2026 application round after its first round closed (announced May 19, 2026, $545,000 across 46 grants). Confirm the portal is actually accepting applications, and against what deadline, before submitting.</w:t>
      </w:r>
    </w:p>
    <w:p>
      <w:pPr>
        <w:numPr>
          <w:ilvl w:val="0"/>
          <w:numId w:val="1001"/>
        </w:numPr>
        <w:pStyle w:val="Compact"/>
      </w:pPr>
      <w:r>
        <w:rPr>
          <w:bCs/>
          <w:b/>
        </w:rPr>
        <w:t xml:space="preserve">45 percent crime reduction stat</w:t>
      </w:r>
      <w:r>
        <w:t xml:space="preserve">: sourced from</w:t>
      </w:r>
      <w:r>
        <w:t xml:space="preserve"> </w:t>
      </w:r>
      <w:r>
        <w:rPr>
          <w:rStyle w:val="VerbatimChar"/>
        </w:rPr>
        <w:t xml:space="preserve">06-strategic-brief-2026.md</w:t>
      </w:r>
      <w:r>
        <w:t xml:space="preserve"> </w:t>
      </w:r>
      <w:r>
        <w:t xml:space="preserve">(</w:t>
      </w:r>
      <w:r>
        <w:t xml:space="preserve">“</w:t>
      </w:r>
      <w:r>
        <w:t xml:space="preserve">45% reduction in violent crime in PSA 105, 2023-2024, vs. a 12% increase citywide, validated by independent MPD data analysis</w:t>
      </w:r>
      <w:r>
        <w:t xml:space="preserve">”</w:t>
      </w:r>
      <w:r>
        <w:t xml:space="preserve">), consistent with the 53-to-29 incident figures already used elsewhere in this application. Confirm this framing is still current with Neo before submission.</w:t>
      </w:r>
    </w:p>
    <w:p>
      <w:pPr>
        <w:numPr>
          <w:ilvl w:val="0"/>
          <w:numId w:val="1001"/>
        </w:numPr>
        <w:pStyle w:val="Compact"/>
      </w:pPr>
      <w:r>
        <w:t xml:space="preserve">Darius Baxter (or whoever is named as final Contact Person) has not yet signed or approved this application; route through Neo first.</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2026-07-13T01:46:06Z</dcterms:created>
  <dcterms:modified xsi:type="dcterms:W3CDTF">2026-07-13T01:46:06Z</dcterms:modified>
</cp:coreProperties>
</file>

<file path=docProps/custom.xml><?xml version="1.0" encoding="utf-8"?>
<Properties xmlns="http://schemas.openxmlformats.org/officeDocument/2006/custom-properties" xmlns:vt="http://schemas.openxmlformats.org/officeDocument/2006/docPropsVTypes"/>
</file>