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GOODProjects, Inc. - Board of Directors</w:t>
      </w:r>
    </w:p>
    <w:p>
      <w:r>
        <w:t>As of January 1, 2025. Confirmed against Form 990 (2024), Part VII.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Title / 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Affiliation / Profession</w:t>
            </w:r>
          </w:p>
        </w:tc>
      </w:tr>
      <w:tr>
        <w:tc>
          <w:tcPr>
            <w:tcW w:type="dxa" w:w="2880"/>
          </w:tcPr>
          <w:p>
            <w:r/>
            <w:r>
              <w:t>Cherrelle Swain</w:t>
            </w:r>
          </w:p>
        </w:tc>
        <w:tc>
          <w:tcPr>
            <w:tcW w:type="dxa" w:w="2880"/>
          </w:tcPr>
          <w:p>
            <w:r/>
            <w:r>
              <w:t>Board Chair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t>Jim Schumacher</w:t>
            </w:r>
          </w:p>
        </w:tc>
        <w:tc>
          <w:tcPr>
            <w:tcW w:type="dxa" w:w="2880"/>
          </w:tcPr>
          <w:p>
            <w:r/>
            <w:r>
              <w:t>Treasurer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t>Darius Baxter</w:t>
            </w:r>
          </w:p>
        </w:tc>
        <w:tc>
          <w:tcPr>
            <w:tcW w:type="dxa" w:w="2880"/>
          </w:tcPr>
          <w:p>
            <w:r/>
            <w:r>
              <w:t>Co-Founder &amp; CEO</w:t>
            </w:r>
          </w:p>
        </w:tc>
        <w:tc>
          <w:tcPr>
            <w:tcW w:type="dxa" w:w="2880"/>
          </w:tcPr>
          <w:p>
            <w:r/>
            <w:r>
              <w:t>GOODProjects, Inc.</w:t>
            </w:r>
          </w:p>
        </w:tc>
      </w:tr>
      <w:tr>
        <w:tc>
          <w:tcPr>
            <w:tcW w:type="dxa" w:w="2880"/>
          </w:tcPr>
          <w:p>
            <w:r/>
            <w:r>
              <w:t>Lauren Marcus</w:t>
            </w:r>
          </w:p>
        </w:tc>
        <w:tc>
          <w:tcPr>
            <w:tcW w:type="dxa" w:w="2880"/>
          </w:tcPr>
          <w:p>
            <w:r/>
            <w:r>
              <w:t>Board Member; Development Chair</w:t>
            </w:r>
          </w:p>
        </w:tc>
        <w:tc>
          <w:tcPr>
            <w:tcW w:type="dxa" w:w="2880"/>
          </w:tcPr>
          <w:p>
            <w:r/>
            <w:r>
              <w:t>Senior Associate, Tiber Hudson LLC</w:t>
            </w:r>
          </w:p>
        </w:tc>
      </w:tr>
      <w:tr>
        <w:tc>
          <w:tcPr>
            <w:tcW w:type="dxa" w:w="2880"/>
          </w:tcPr>
          <w:p>
            <w:r/>
            <w:r>
              <w:t>Carlos Gray</w:t>
            </w:r>
          </w:p>
        </w:tc>
        <w:tc>
          <w:tcPr>
            <w:tcW w:type="dxa" w:w="2880"/>
          </w:tcPr>
          <w:p>
            <w:r/>
            <w:r>
              <w:t>Board Member</w:t>
            </w:r>
          </w:p>
        </w:tc>
        <w:tc>
          <w:tcPr>
            <w:tcW w:type="dxa" w:w="2880"/>
          </w:tcPr>
          <w:p>
            <w:r/>
            <w:r>
              <w:t>DC Housing Authority, Business Development &amp; Marketing Manager</w:t>
            </w:r>
          </w:p>
        </w:tc>
      </w:tr>
      <w:tr>
        <w:tc>
          <w:tcPr>
            <w:tcW w:type="dxa" w:w="2880"/>
          </w:tcPr>
          <w:p>
            <w:r/>
            <w:r>
              <w:t>Dr. Alyssa Lovegrove</w:t>
            </w:r>
          </w:p>
        </w:tc>
        <w:tc>
          <w:tcPr>
            <w:tcW w:type="dxa" w:w="2880"/>
          </w:tcPr>
          <w:p>
            <w:r/>
            <w:r>
              <w:t>Board Member</w:t>
            </w:r>
          </w:p>
        </w:tc>
        <w:tc>
          <w:tcPr>
            <w:tcW w:type="dxa" w:w="2880"/>
          </w:tcPr>
          <w:p>
            <w:r/>
            <w:r>
              <w:t>Georgetown University, Professor</w:t>
            </w:r>
          </w:p>
        </w:tc>
      </w:tr>
      <w:tr>
        <w:tc>
          <w:tcPr>
            <w:tcW w:type="dxa" w:w="2880"/>
          </w:tcPr>
          <w:p>
            <w:r/>
            <w:r>
              <w:t>Dr. Keena Blackmon</w:t>
            </w:r>
          </w:p>
        </w:tc>
        <w:tc>
          <w:tcPr>
            <w:tcW w:type="dxa" w:w="2880"/>
          </w:tcPr>
          <w:p>
            <w:r/>
            <w:r>
              <w:t>Board Member</w:t>
            </w:r>
          </w:p>
        </w:tc>
        <w:tc>
          <w:tcPr>
            <w:tcW w:type="dxa" w:w="2880"/>
          </w:tcPr>
          <w:p>
            <w:r/>
            <w:r>
              <w:t>Howard University, Professor</w:t>
            </w:r>
          </w:p>
        </w:tc>
      </w:tr>
      <w:tr>
        <w:tc>
          <w:tcPr>
            <w:tcW w:type="dxa" w:w="2880"/>
          </w:tcPr>
          <w:p>
            <w:r/>
            <w:r>
              <w:t>Max Snider</w:t>
            </w:r>
          </w:p>
        </w:tc>
        <w:tc>
          <w:tcPr>
            <w:tcW w:type="dxa" w:w="2880"/>
          </w:tcPr>
          <w:p>
            <w:r/>
            <w:r>
              <w:t>Board Member</w:t>
            </w:r>
          </w:p>
        </w:tc>
        <w:tc>
          <w:tcPr>
            <w:tcW w:type="dxa" w:w="2880"/>
          </w:tcPr>
          <w:p>
            <w:r/>
            <w:r>
              <w:t>10 Square Development, Acquisitions &amp; Capital Marketing Principal</w:t>
            </w:r>
          </w:p>
        </w:tc>
      </w:tr>
    </w:tbl>
    <w:p/>
    <w:p>
      <w:r>
        <w:t>8 voting members, 7 independent. Terms are one year; each member is re-confirmed annually.</w:t>
      </w:r>
    </w:p>
    <w:p>
      <w:r>
        <w:t>GOODProjects, Inc. | 996 Maine Avenue SW, Suite 208, Washington, DC 20024 | EIN 81-1491594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