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Plant Color Analysis Report</w:t>
      </w:r>
    </w:p>
    <w:p>
      <w:r>
        <w:t>Original (Left) vs Processed (Right): Plant1_Day11_Morning_Side.jpg</w:t>
      </w:r>
    </w:p>
    <w:p>
      <w:r>
        <w:drawing>
          <wp:inline xmlns:a="http://schemas.openxmlformats.org/drawingml/2006/main" xmlns:pic="http://schemas.openxmlformats.org/drawingml/2006/picture">
            <wp:extent cx="41148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ant1_Day11_Morning_Sid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Original (Left) vs Processed (Right): Plant2_Day11_Morning_Side.jpg</w:t>
      </w:r>
    </w:p>
    <w:p>
      <w:r>
        <w:drawing>
          <wp:inline xmlns:a="http://schemas.openxmlformats.org/drawingml/2006/main" xmlns:pic="http://schemas.openxmlformats.org/drawingml/2006/picture">
            <wp:extent cx="41148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ant2_Day11_Morning_Sid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Original (Left) vs Processed (Right): Plant3_Day11_Morning_Side.jpg</w:t>
      </w:r>
    </w:p>
    <w:p>
      <w:r>
        <w:drawing>
          <wp:inline xmlns:a="http://schemas.openxmlformats.org/drawingml/2006/main" xmlns:pic="http://schemas.openxmlformats.org/drawingml/2006/picture">
            <wp:extent cx="41148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ant3_Day11_Morning_Sid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Color Distribution Graph: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color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