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Fashion Image Generation Using Projected GAN</w:t>
        <w:br/>
        <w:t>and Stable Diffusion LoRA Fine-tuning</w:t>
      </w:r>
    </w:p>
    <w:p>
      <w:pPr>
        <w:jc w:val="center"/>
      </w:pPr>
      <w:r>
        <w:rPr>
          <w:rFonts w:ascii="Times New Roman" w:hAnsi="Times New Roman"/>
          <w:sz w:val="22"/>
        </w:rPr>
        <w:br/>
        <w:t>Author Name</w:t>
      </w:r>
    </w:p>
    <w:p>
      <w:pPr>
        <w:jc w:val="center"/>
      </w:pPr>
      <w:r>
        <w:rPr>
          <w:rFonts w:ascii="Times New Roman" w:hAnsi="Times New Roman"/>
          <w:i/>
          <w:sz w:val="20"/>
        </w:rPr>
        <w:t>Department of Computer Science</w:t>
        <w:br/>
        <w:t>University Name</w:t>
        <w:br/>
        <w:t>City, Country</w:t>
        <w:br/>
        <w:t>email@university.edu</w:t>
      </w:r>
    </w:p>
    <w:p/>
    <w:p>
      <w:pPr>
        <w:jc w:val="center"/>
      </w:pPr>
      <w:r>
        <w:rPr>
          <w:b/>
          <w:i/>
          <w:sz w:val="18"/>
        </w:rPr>
        <w:t>Abstract</w:t>
      </w:r>
    </w:p>
    <w:p>
      <w:pPr>
        <w:jc w:val="both"/>
      </w:pPr>
      <w:r>
        <w:rPr>
          <w:rFonts w:ascii="Times New Roman" w:hAnsi="Times New Roman"/>
          <w:i/>
          <w:sz w:val="18"/>
        </w:rPr>
        <w:t>This paper presents a dual-approach system for generating high-quality fashion images using two complementary deep learning methodologies: Projected Generative Adversarial Networks (Projected GAN) and Low-Rank Adaptation (LoRA) fine-tuning of Stable Diffusion. The Projected GAN approach leverages frozen pretrained EfficientNet features as a discriminator backbone, enabling faster convergence and improved training stability compared to traditional GAN architectures. The LoRA-based approach fine-tunes a pretrained Stable Diffusion v1.5 model on fashion-specific data, enabling text-conditioned generation with minimal computational overhead. We implement several stability techniques including spectral normalization, R1 gradient penalty, exponential moving average (EMA), and gradient clipping to ensure robust training. Experimental results on the DeepFashion dataset demonstrate the effectiveness of both approaches, with the Projected GAN generating diverse unconditional fashion images and the LoRA model producing high-fidelity text-guided outputs. The complete implementation achieves training in approximately 11-12 hours on consumer-grade hardware (NVIDIA RTX 4060, 8GB VRAM), making it accessible for practical applications.</w:t>
      </w:r>
    </w:p>
    <w:p>
      <w:pPr>
        <w:jc w:val="both"/>
      </w:pPr>
      <w:r>
        <w:rPr>
          <w:b/>
          <w:i/>
          <w:sz w:val="18"/>
        </w:rPr>
        <w:t xml:space="preserve">Keywords: </w:t>
      </w:r>
      <w:r>
        <w:rPr>
          <w:i/>
          <w:sz w:val="18"/>
        </w:rPr>
        <w:t>Generative Adversarial Networks, Projected GAN, Stable Diffusion, LoRA, Fashion Image Generation, Deep Learning</w:t>
      </w:r>
    </w:p>
    <w:p/>
    <w:p>
      <w:r>
        <w:rPr>
          <w:b/>
          <w:sz w:val="20"/>
        </w:rPr>
        <w:t>I. INTRODUCTION</w:t>
      </w:r>
    </w:p>
    <w:p>
      <w:pPr>
        <w:jc w:val="both"/>
      </w:pPr>
      <w:r>
        <w:rPr>
          <w:sz w:val="20"/>
        </w:rPr>
        <w:t>The fashion industry has increasingly embraced artificial intelligence for various applications, from trend forecasting to virtual try-on systems. Image generation stands as a particularly impactful application, enabling designers to rapidly prototype concepts, e-commerce platforms to augment product catalogs, and marketing teams to create diverse visual content without extensive photoshoots.</w:t>
      </w:r>
    </w:p>
    <w:p>
      <w:pPr>
        <w:jc w:val="both"/>
      </w:pPr>
      <w:r>
        <w:rPr>
          <w:sz w:val="20"/>
        </w:rPr>
        <w:t>Generative Adversarial Networks (GANs) have revolutionized image synthesis since their introduction by Goodfellow et al. [1]. However, training GANs remains challenging due to issues such as mode collapse, training instability, and the need for careful hyperparameter tuning. Recent advances, particularly Projected GANs [2], address these challenges by utilizing frozen pretrained features as discriminator backbones, significantly improving training stability and convergence speed.</w:t>
      </w:r>
    </w:p>
    <w:p>
      <w:pPr>
        <w:jc w:val="both"/>
      </w:pPr>
      <w:r>
        <w:rPr>
          <w:sz w:val="20"/>
        </w:rPr>
        <w:t>Simultaneously, diffusion models have emerged as a powerful alternative to GANs. Stable Diffusion [3], in particular, has demonstrated remarkable capability in generating high-fidelity images from text descriptions. The introduction of Low-Rank Adaptation (LoRA) [4] has made fine-tuning these large models practical on consumer hardware by training only a small set of additional parameters.</w:t>
      </w:r>
    </w:p>
    <w:p>
      <w:pPr>
        <w:jc w:val="both"/>
      </w:pPr>
      <w:r>
        <w:rPr>
          <w:sz w:val="20"/>
        </w:rPr>
        <w:t>This paper presents a comprehensive implementation of both approaches for fashion image generation. Our contributions include: (1) a robust Projected GAN implementation with multiple stability enhancements, (2) an efficient LoRA fine-tuning pipeline for Stable Diffusion, (3) detailed experimental analysis on the DeepFashion dataset, and (4) optimization strategies for training on consumer-grade GPUs.</w:t>
      </w:r>
    </w:p>
    <w:p>
      <w:r>
        <w:rPr>
          <w:b/>
          <w:sz w:val="20"/>
        </w:rPr>
        <w:t>II. RELATED WORK</w:t>
      </w:r>
    </w:p>
    <w:p>
      <w:r>
        <w:rPr>
          <w:i/>
          <w:sz w:val="20"/>
        </w:rPr>
        <w:t>A. Generative Adversarial Networks</w:t>
      </w:r>
    </w:p>
    <w:p>
      <w:pPr>
        <w:jc w:val="both"/>
      </w:pPr>
      <w:r>
        <w:rPr>
          <w:sz w:val="20"/>
        </w:rPr>
        <w:t>GANs consist of a generator G and discriminator D trained in an adversarial manner. The generator learns to produce realistic samples while the discriminator learns to distinguish real from generated samples. StyleGAN [5] introduced style-based generation with adaptive instance normalization (AdaIN), enabling fine-grained control over generated images. StyleGAN2 [6] further improved quality through path length regularization and revised normalization. Projected GANs [2] demonstrated that using frozen pretrained features dramatically accelerates training while maintaining quality.</w:t>
      </w:r>
    </w:p>
    <w:p>
      <w:r>
        <w:rPr>
          <w:i/>
          <w:sz w:val="20"/>
        </w:rPr>
        <w:t>B. Diffusion Models and LoRA</w:t>
      </w:r>
    </w:p>
    <w:p>
      <w:pPr>
        <w:jc w:val="both"/>
      </w:pPr>
      <w:r>
        <w:rPr>
          <w:sz w:val="20"/>
        </w:rPr>
        <w:t>Denoising Diffusion Probabilistic Models (DDPMs) [7] learn to reverse a gradual noising process. Latent Diffusion Models [3] operate in a compressed latent space, enabling efficient high-resolution synthesis. LoRA [4] enables parameter-efficient fine-tuning by decomposing weight updates into low-rank matrices, reducing trainable parameters by orders of magnitude while preserving adaptation capability.</w:t>
      </w:r>
    </w:p>
    <w:p>
      <w:r>
        <w:rPr>
          <w:b/>
          <w:sz w:val="20"/>
        </w:rPr>
        <w:t>III. METHODOLOGY</w:t>
      </w:r>
    </w:p>
    <w:p>
      <w:r>
        <w:rPr>
          <w:i/>
          <w:sz w:val="20"/>
        </w:rPr>
        <w:t>A. Dataset Preparation</w:t>
      </w:r>
    </w:p>
    <w:p>
      <w:pPr>
        <w:jc w:val="both"/>
      </w:pPr>
      <w:r>
        <w:rPr>
          <w:sz w:val="20"/>
        </w:rPr>
        <w:t>We utilize the DeepFashion dataset [8], specifically the training images subset containing approximately 10,000 high-quality fashion photographs. Images are preprocessed to 256x256 resolution for the Projected GAN and 512x512 for Stable Diffusion LoRA training. Data augmentation techniques including random horizontal flipping, color jitter, random cropping, and random erasing are applied to increase effective dataset diversity and prevent overfitting.</w:t>
      </w:r>
    </w:p>
    <w:p>
      <w:r>
        <w:rPr>
          <w:i/>
          <w:sz w:val="20"/>
        </w:rPr>
        <w:t>B. Projected GAN Architecture</w:t>
      </w:r>
    </w:p>
    <w:p>
      <w:pPr>
        <w:jc w:val="both"/>
      </w:pPr>
      <w:r>
        <w:rPr>
          <w:sz w:val="20"/>
        </w:rPr>
        <w:t>Our Projected GAN implementation consists of two main components: a style-based generator and a multi-scale projected discriminator.</w:t>
      </w:r>
    </w:p>
    <w:p>
      <w:pPr>
        <w:jc w:val="both"/>
      </w:pPr>
      <w:r>
        <w:rPr>
          <w:sz w:val="20"/>
        </w:rPr>
        <w:t>Generator Architecture: The generator follows a StyleGAN-inspired design with a mapping network that transforms latent vectors z in R^256 to an intermediate latent space w. The synthesis network then progressively upsamples from a learned 4x4 constant through six synthesis blocks, each performing bilinear upsampling followed by two convolution layers with Adaptive Instance Normalization (AdaIN). Spectral normalization is applied to all convolutional layers to constrain the Lipschitz constant and improve training stability. Learnable noise injection with small initial scales provides stochastic variation.</w:t>
      </w:r>
    </w:p>
    <w:p>
      <w:pPr>
        <w:jc w:val="both"/>
      </w:pPr>
      <w:r>
        <w:rPr>
          <w:sz w:val="20"/>
        </w:rPr>
        <w:t>Discriminator Architecture: The discriminator leverages a frozen pretrained EfficientNet-Lite0 backbone. Multi-scale features are extracted from four intermediate layers and projected through learned 1x1 convolutions to a common channel dimension (128). Each scale has an independent discriminator head producing per-pixel real/fake predictions. The final output aggregates predictions across all scales. The frozen backbone provides rich semantic features without additional training cost.</w:t>
      </w:r>
    </w:p>
    <w:p>
      <w:r>
        <w:rPr>
          <w:i/>
          <w:sz w:val="20"/>
        </w:rPr>
        <w:t>C. Training Stability Techniques</w:t>
      </w:r>
    </w:p>
    <w:p>
      <w:pPr>
        <w:jc w:val="both"/>
      </w:pPr>
      <w:r>
        <w:rPr>
          <w:sz w:val="20"/>
        </w:rPr>
        <w:t>To ensure robust training, we implement several stability mechanisms:</w:t>
        <w:br/>
        <w:br/>
        <w:t>1) Spectral Normalization: Applied to generator convolutions to control the Lipschitz constant, preventing gradient explosion.</w:t>
        <w:br/>
        <w:br/>
        <w:t>2) R1 Gradient Penalty: Regularizes the discriminator by penalizing the gradient magnitude on real data, computed every 8 training steps with gamma=0.1.</w:t>
        <w:br/>
        <w:br/>
        <w:t>3) Exponential Moving Average (EMA): Maintains a smoothed copy of generator weights with decay=0.9999, producing more stable outputs during inference.</w:t>
        <w:br/>
        <w:br/>
        <w:t>4) Gradient Clipping: Generator and discriminator gradients are clipped to maximum norm of 0.5.</w:t>
        <w:br/>
        <w:br/>
        <w:t>5) Learning Rate Warmup: Linear warmup over 1000 steps prevents early training instability.</w:t>
        <w:br/>
        <w:br/>
        <w:t>6) NaN Detection: Automatic detection of numerical instability with early stopping after 30 consecutive NaN losses.</w:t>
        <w:br/>
        <w:br/>
        <w:t>7) Generator FP32 Training: While the discriminator uses mixed precision (FP16), the generator trains in FP32 for numerical stability.</w:t>
      </w:r>
    </w:p>
    <w:p>
      <w:r>
        <w:rPr>
          <w:i/>
          <w:sz w:val="20"/>
        </w:rPr>
        <w:t>D. Stable Diffusion LoRA Fine-tuning</w:t>
      </w:r>
    </w:p>
    <w:p>
      <w:pPr>
        <w:jc w:val="both"/>
      </w:pPr>
      <w:r>
        <w:rPr>
          <w:sz w:val="20"/>
        </w:rPr>
        <w:t>For text-conditioned generation, we fine-tune Stable Diffusion v1.5 using LoRA. The base model remains frozen while low-rank adaptation matrices are trained on attention layers (Q, K, V, output projections), feed-forward layers, and convolution layers. We use rank r=128 and alpha=128. Training uses the AdamW optimizer with learning rate 5e-5, cosine learning rate schedule, and gradient checkpointing for memory efficiency. The instance prompt "a photograph of sks fashion clothing" enables the model to learn the fashion domain while preserving general capabilities.</w:t>
      </w:r>
    </w:p>
    <w:p>
      <w:r>
        <w:rPr>
          <w:b/>
          <w:sz w:val="20"/>
        </w:rPr>
        <w:t>IV. IMPLEMENTATION DETAILS</w:t>
      </w:r>
    </w:p>
    <w:p>
      <w:pPr>
        <w:jc w:val="both"/>
      </w:pPr>
      <w:r>
        <w:rPr>
          <w:sz w:val="20"/>
        </w:rPr>
        <w:t>The implementation uses PyTorch 2.x with CUDA acceleration. Key dependencies include timm for pretrained backbones, Hugging Face diffusers and transformers for Stable Diffusion, and PEFT for LoRA implementation.</w:t>
      </w:r>
    </w:p>
    <w:p>
      <w:pPr>
        <w:jc w:val="center"/>
      </w:pPr>
      <w:r>
        <w:rPr>
          <w:b/>
          <w:sz w:val="16"/>
        </w:rPr>
        <w:t>TABLE I: TRAINING CONFIGURATION</w:t>
      </w:r>
    </w:p>
    <w:tbl>
      <w:tblPr>
        <w:tblStyle w:val="TableGrid"/>
        <w:tblW w:type="auto" w:w="0"/>
        <w:jc w:val="center"/>
        <w:tblLook w:firstColumn="1" w:firstRow="1" w:lastColumn="0" w:lastRow="0" w:noHBand="0" w:noVBand="1" w:val="04A0"/>
      </w:tblPr>
      <w:tblGrid>
        <w:gridCol w:w="3487"/>
        <w:gridCol w:w="3487"/>
        <w:gridCol w:w="3487"/>
      </w:tblGrid>
      <w:tr>
        <w:tc>
          <w:tcPr>
            <w:tcW w:type="dxa" w:w="3487"/>
          </w:tcPr>
          <w:p>
            <w:pPr>
              <w:jc w:val="center"/>
            </w:pPr>
            <w:r>
              <w:rPr>
                <w:rFonts w:ascii="Times New Roman" w:hAnsi="Times New Roman"/>
                <w:sz w:val="16"/>
              </w:rPr>
              <w:t>Parameter</w:t>
            </w:r>
          </w:p>
        </w:tc>
        <w:tc>
          <w:tcPr>
            <w:tcW w:type="dxa" w:w="3487"/>
          </w:tcPr>
          <w:p>
            <w:pPr>
              <w:jc w:val="center"/>
            </w:pPr>
            <w:r>
              <w:rPr>
                <w:rFonts w:ascii="Times New Roman" w:hAnsi="Times New Roman"/>
                <w:sz w:val="16"/>
              </w:rPr>
              <w:t>Projected GAN</w:t>
            </w:r>
          </w:p>
        </w:tc>
        <w:tc>
          <w:tcPr>
            <w:tcW w:type="dxa" w:w="3487"/>
          </w:tcPr>
          <w:p>
            <w:pPr>
              <w:jc w:val="center"/>
            </w:pPr>
            <w:r>
              <w:rPr>
                <w:rFonts w:ascii="Times New Roman" w:hAnsi="Times New Roman"/>
                <w:sz w:val="16"/>
              </w:rPr>
              <w:t>LoRA</w:t>
            </w:r>
          </w:p>
        </w:tc>
      </w:tr>
      <w:tr>
        <w:tc>
          <w:tcPr>
            <w:tcW w:type="dxa" w:w="3487"/>
          </w:tcPr>
          <w:p>
            <w:pPr>
              <w:jc w:val="center"/>
            </w:pPr>
            <w:r>
              <w:rPr>
                <w:rFonts w:ascii="Times New Roman" w:hAnsi="Times New Roman"/>
                <w:sz w:val="16"/>
              </w:rPr>
              <w:t>Batch Size</w:t>
            </w:r>
          </w:p>
        </w:tc>
        <w:tc>
          <w:tcPr>
            <w:tcW w:type="dxa" w:w="3487"/>
          </w:tcPr>
          <w:p>
            <w:pPr>
              <w:jc w:val="center"/>
            </w:pPr>
            <w:r>
              <w:rPr>
                <w:rFonts w:ascii="Times New Roman" w:hAnsi="Times New Roman"/>
                <w:sz w:val="16"/>
              </w:rPr>
              <w:t>10</w:t>
            </w:r>
          </w:p>
        </w:tc>
        <w:tc>
          <w:tcPr>
            <w:tcW w:type="dxa" w:w="3487"/>
          </w:tcPr>
          <w:p>
            <w:pPr>
              <w:jc w:val="center"/>
            </w:pPr>
            <w:r>
              <w:rPr>
                <w:rFonts w:ascii="Times New Roman" w:hAnsi="Times New Roman"/>
                <w:sz w:val="16"/>
              </w:rPr>
              <w:t>1 (accum=4)</w:t>
            </w:r>
          </w:p>
        </w:tc>
      </w:tr>
      <w:tr>
        <w:tc>
          <w:tcPr>
            <w:tcW w:type="dxa" w:w="3487"/>
          </w:tcPr>
          <w:p>
            <w:pPr>
              <w:jc w:val="center"/>
            </w:pPr>
            <w:r>
              <w:rPr>
                <w:rFonts w:ascii="Times New Roman" w:hAnsi="Times New Roman"/>
                <w:sz w:val="16"/>
              </w:rPr>
              <w:t>Learning Rate (G/D)</w:t>
            </w:r>
          </w:p>
        </w:tc>
        <w:tc>
          <w:tcPr>
            <w:tcW w:type="dxa" w:w="3487"/>
          </w:tcPr>
          <w:p>
            <w:pPr>
              <w:jc w:val="center"/>
            </w:pPr>
            <w:r>
              <w:rPr>
                <w:rFonts w:ascii="Times New Roman" w:hAnsi="Times New Roman"/>
                <w:sz w:val="16"/>
              </w:rPr>
              <w:t>2.5e-4 / 2.5e-4</w:t>
            </w:r>
          </w:p>
        </w:tc>
        <w:tc>
          <w:tcPr>
            <w:tcW w:type="dxa" w:w="3487"/>
          </w:tcPr>
          <w:p>
            <w:pPr>
              <w:jc w:val="center"/>
            </w:pPr>
            <w:r>
              <w:rPr>
                <w:rFonts w:ascii="Times New Roman" w:hAnsi="Times New Roman"/>
                <w:sz w:val="16"/>
              </w:rPr>
              <w:t>5e-5</w:t>
            </w:r>
          </w:p>
        </w:tc>
      </w:tr>
      <w:tr>
        <w:tc>
          <w:tcPr>
            <w:tcW w:type="dxa" w:w="3487"/>
          </w:tcPr>
          <w:p>
            <w:pPr>
              <w:jc w:val="center"/>
            </w:pPr>
            <w:r>
              <w:rPr>
                <w:rFonts w:ascii="Times New Roman" w:hAnsi="Times New Roman"/>
                <w:sz w:val="16"/>
              </w:rPr>
              <w:t>Optimizer</w:t>
            </w:r>
          </w:p>
        </w:tc>
        <w:tc>
          <w:tcPr>
            <w:tcW w:type="dxa" w:w="3487"/>
          </w:tcPr>
          <w:p>
            <w:pPr>
              <w:jc w:val="center"/>
            </w:pPr>
            <w:r>
              <w:rPr>
                <w:rFonts w:ascii="Times New Roman" w:hAnsi="Times New Roman"/>
                <w:sz w:val="16"/>
              </w:rPr>
              <w:t>Adam (beta=0, 0.99)</w:t>
            </w:r>
          </w:p>
        </w:tc>
        <w:tc>
          <w:tcPr>
            <w:tcW w:type="dxa" w:w="3487"/>
          </w:tcPr>
          <w:p>
            <w:pPr>
              <w:jc w:val="center"/>
            </w:pPr>
            <w:r>
              <w:rPr>
                <w:rFonts w:ascii="Times New Roman" w:hAnsi="Times New Roman"/>
                <w:sz w:val="16"/>
              </w:rPr>
              <w:t>AdamW</w:t>
            </w:r>
          </w:p>
        </w:tc>
      </w:tr>
      <w:tr>
        <w:tc>
          <w:tcPr>
            <w:tcW w:type="dxa" w:w="3487"/>
          </w:tcPr>
          <w:p>
            <w:pPr>
              <w:jc w:val="center"/>
            </w:pPr>
            <w:r>
              <w:rPr>
                <w:rFonts w:ascii="Times New Roman" w:hAnsi="Times New Roman"/>
                <w:sz w:val="16"/>
              </w:rPr>
              <w:t>Image Resolution</w:t>
            </w:r>
          </w:p>
        </w:tc>
        <w:tc>
          <w:tcPr>
            <w:tcW w:type="dxa" w:w="3487"/>
          </w:tcPr>
          <w:p>
            <w:pPr>
              <w:jc w:val="center"/>
            </w:pPr>
            <w:r>
              <w:rPr>
                <w:rFonts w:ascii="Times New Roman" w:hAnsi="Times New Roman"/>
                <w:sz w:val="16"/>
              </w:rPr>
              <w:t>256 x 256</w:t>
            </w:r>
          </w:p>
        </w:tc>
        <w:tc>
          <w:tcPr>
            <w:tcW w:type="dxa" w:w="3487"/>
          </w:tcPr>
          <w:p>
            <w:pPr>
              <w:jc w:val="center"/>
            </w:pPr>
            <w:r>
              <w:rPr>
                <w:rFonts w:ascii="Times New Roman" w:hAnsi="Times New Roman"/>
                <w:sz w:val="16"/>
              </w:rPr>
              <w:t>512 x 512</w:t>
            </w:r>
          </w:p>
        </w:tc>
      </w:tr>
      <w:tr>
        <w:tc>
          <w:tcPr>
            <w:tcW w:type="dxa" w:w="3487"/>
          </w:tcPr>
          <w:p>
            <w:pPr>
              <w:jc w:val="center"/>
            </w:pPr>
            <w:r>
              <w:rPr>
                <w:rFonts w:ascii="Times New Roman" w:hAnsi="Times New Roman"/>
                <w:sz w:val="16"/>
              </w:rPr>
              <w:t>Total Training</w:t>
            </w:r>
          </w:p>
        </w:tc>
        <w:tc>
          <w:tcPr>
            <w:tcW w:type="dxa" w:w="3487"/>
          </w:tcPr>
          <w:p>
            <w:pPr>
              <w:jc w:val="center"/>
            </w:pPr>
            <w:r>
              <w:rPr>
                <w:rFonts w:ascii="Times New Roman" w:hAnsi="Times New Roman"/>
                <w:sz w:val="16"/>
              </w:rPr>
              <w:t>750 kimg (~11h)</w:t>
            </w:r>
          </w:p>
        </w:tc>
        <w:tc>
          <w:tcPr>
            <w:tcW w:type="dxa" w:w="3487"/>
          </w:tcPr>
          <w:p>
            <w:pPr>
              <w:jc w:val="center"/>
            </w:pPr>
            <w:r>
              <w:rPr>
                <w:rFonts w:ascii="Times New Roman" w:hAnsi="Times New Roman"/>
                <w:sz w:val="16"/>
              </w:rPr>
              <w:t>15 epochs (~2h)</w:t>
            </w:r>
          </w:p>
        </w:tc>
      </w:tr>
      <w:tr>
        <w:tc>
          <w:tcPr>
            <w:tcW w:type="dxa" w:w="3487"/>
          </w:tcPr>
          <w:p>
            <w:pPr>
              <w:jc w:val="center"/>
            </w:pPr>
            <w:r>
              <w:rPr>
                <w:rFonts w:ascii="Times New Roman" w:hAnsi="Times New Roman"/>
                <w:sz w:val="16"/>
              </w:rPr>
              <w:t>Gradient Clipping</w:t>
            </w:r>
          </w:p>
        </w:tc>
        <w:tc>
          <w:tcPr>
            <w:tcW w:type="dxa" w:w="3487"/>
          </w:tcPr>
          <w:p>
            <w:pPr>
              <w:jc w:val="center"/>
            </w:pPr>
            <w:r>
              <w:rPr>
                <w:rFonts w:ascii="Times New Roman" w:hAnsi="Times New Roman"/>
                <w:sz w:val="16"/>
              </w:rPr>
              <w:t>0.5</w:t>
            </w:r>
          </w:p>
        </w:tc>
        <w:tc>
          <w:tcPr>
            <w:tcW w:type="dxa" w:w="3487"/>
          </w:tcPr>
          <w:p>
            <w:pPr>
              <w:jc w:val="center"/>
            </w:pPr>
            <w:r>
              <w:rPr>
                <w:rFonts w:ascii="Times New Roman" w:hAnsi="Times New Roman"/>
                <w:sz w:val="16"/>
              </w:rPr>
              <w:t>1.0</w:t>
            </w:r>
          </w:p>
        </w:tc>
      </w:tr>
      <w:tr>
        <w:tc>
          <w:tcPr>
            <w:tcW w:type="dxa" w:w="3487"/>
          </w:tcPr>
          <w:p>
            <w:pPr>
              <w:jc w:val="center"/>
            </w:pPr>
            <w:r>
              <w:rPr>
                <w:rFonts w:ascii="Times New Roman" w:hAnsi="Times New Roman"/>
                <w:sz w:val="16"/>
              </w:rPr>
              <w:t>Mixed Precision</w:t>
            </w:r>
          </w:p>
        </w:tc>
        <w:tc>
          <w:tcPr>
            <w:tcW w:type="dxa" w:w="3487"/>
          </w:tcPr>
          <w:p>
            <w:pPr>
              <w:jc w:val="center"/>
            </w:pPr>
            <w:r>
              <w:rPr>
                <w:rFonts w:ascii="Times New Roman" w:hAnsi="Times New Roman"/>
                <w:sz w:val="16"/>
              </w:rPr>
              <w:t>D: FP16, G: FP32</w:t>
            </w:r>
          </w:p>
        </w:tc>
        <w:tc>
          <w:tcPr>
            <w:tcW w:type="dxa" w:w="3487"/>
          </w:tcPr>
          <w:p>
            <w:pPr>
              <w:jc w:val="center"/>
            </w:pPr>
            <w:r>
              <w:rPr>
                <w:rFonts w:ascii="Times New Roman" w:hAnsi="Times New Roman"/>
                <w:sz w:val="16"/>
              </w:rPr>
              <w:t>FP16</w:t>
            </w:r>
          </w:p>
        </w:tc>
      </w:tr>
      <w:tr>
        <w:tc>
          <w:tcPr>
            <w:tcW w:type="dxa" w:w="3487"/>
          </w:tcPr>
          <w:p>
            <w:pPr>
              <w:jc w:val="center"/>
            </w:pPr>
            <w:r>
              <w:rPr>
                <w:rFonts w:ascii="Times New Roman" w:hAnsi="Times New Roman"/>
                <w:sz w:val="16"/>
              </w:rPr>
              <w:t>R1 Regularization</w:t>
            </w:r>
          </w:p>
        </w:tc>
        <w:tc>
          <w:tcPr>
            <w:tcW w:type="dxa" w:w="3487"/>
          </w:tcPr>
          <w:p>
            <w:pPr>
              <w:jc w:val="center"/>
            </w:pPr>
            <w:r>
              <w:rPr>
                <w:rFonts w:ascii="Times New Roman" w:hAnsi="Times New Roman"/>
                <w:sz w:val="16"/>
              </w:rPr>
              <w:t>gamma=0.1, interval=8</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EMA Decay</w:t>
            </w:r>
          </w:p>
        </w:tc>
        <w:tc>
          <w:tcPr>
            <w:tcW w:type="dxa" w:w="3487"/>
          </w:tcPr>
          <w:p>
            <w:pPr>
              <w:jc w:val="center"/>
            </w:pPr>
            <w:r>
              <w:rPr>
                <w:rFonts w:ascii="Times New Roman" w:hAnsi="Times New Roman"/>
                <w:sz w:val="16"/>
              </w:rPr>
              <w:t>0.9999</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LoRA Rank</w:t>
            </w:r>
          </w:p>
        </w:tc>
        <w:tc>
          <w:tcPr>
            <w:tcW w:type="dxa" w:w="3487"/>
          </w:tcPr>
          <w:p>
            <w:pPr>
              <w:jc w:val="center"/>
            </w:pPr>
            <w:r>
              <w:rPr>
                <w:rFonts w:ascii="Times New Roman" w:hAnsi="Times New Roman"/>
                <w:sz w:val="16"/>
              </w:rPr>
              <w:t>N/A</w:t>
            </w:r>
          </w:p>
        </w:tc>
        <w:tc>
          <w:tcPr>
            <w:tcW w:type="dxa" w:w="3487"/>
          </w:tcPr>
          <w:p>
            <w:pPr>
              <w:jc w:val="center"/>
            </w:pPr>
            <w:r>
              <w:rPr>
                <w:rFonts w:ascii="Times New Roman" w:hAnsi="Times New Roman"/>
                <w:sz w:val="16"/>
              </w:rPr>
              <w:t>128</w:t>
            </w:r>
          </w:p>
        </w:tc>
      </w:tr>
      <w:tr>
        <w:tc>
          <w:tcPr>
            <w:tcW w:type="dxa" w:w="3487"/>
          </w:tcPr>
          <w:p>
            <w:pPr>
              <w:jc w:val="center"/>
            </w:pPr>
            <w:r>
              <w:rPr>
                <w:rFonts w:ascii="Times New Roman" w:hAnsi="Times New Roman"/>
                <w:sz w:val="16"/>
              </w:rPr>
              <w:t>Warmup Steps</w:t>
            </w:r>
          </w:p>
        </w:tc>
        <w:tc>
          <w:tcPr>
            <w:tcW w:type="dxa" w:w="3487"/>
          </w:tcPr>
          <w:p>
            <w:pPr>
              <w:jc w:val="center"/>
            </w:pPr>
            <w:r>
              <w:rPr>
                <w:rFonts w:ascii="Times New Roman" w:hAnsi="Times New Roman"/>
                <w:sz w:val="16"/>
              </w:rPr>
              <w:t>1000</w:t>
            </w:r>
          </w:p>
        </w:tc>
        <w:tc>
          <w:tcPr>
            <w:tcW w:type="dxa" w:w="3487"/>
          </w:tcPr>
          <w:p>
            <w:pPr>
              <w:jc w:val="center"/>
            </w:pPr>
            <w:r>
              <w:rPr>
                <w:rFonts w:ascii="Times New Roman" w:hAnsi="Times New Roman"/>
                <w:sz w:val="16"/>
              </w:rPr>
              <w:t>100</w:t>
            </w:r>
          </w:p>
        </w:tc>
      </w:tr>
    </w:tbl>
    <w:p/>
    <w:p>
      <w:r>
        <w:rPr>
          <w:b/>
          <w:sz w:val="20"/>
        </w:rPr>
        <w:t>V. EXPERIMENTS AND RESULTS</w:t>
      </w:r>
    </w:p>
    <w:p>
      <w:r>
        <w:rPr>
          <w:i/>
          <w:sz w:val="20"/>
        </w:rPr>
        <w:t>A. Training Progress</w:t>
      </w:r>
    </w:p>
    <w:p>
      <w:pPr>
        <w:jc w:val="both"/>
      </w:pPr>
      <w:r>
        <w:rPr>
          <w:sz w:val="20"/>
        </w:rPr>
        <w:t>The Projected GAN was trained for 750 kimg (75,000 generator updates with batch size 10) over approximately 11-12 hours on an NVIDIA RTX 4060 (8GB VRAM). Training remained stable throughout with no NaN losses observed after implementing the stability measures. The discriminator loss stabilized around 0.5-1.0 while the generator loss converged to approximately 1.0-2.0, indicating healthy adversarial dynamics. Sample quality improved progressively, with recognizable fashion items emerging within the first 10% of training and refinement continuing throughout.</w:t>
      </w:r>
    </w:p>
    <w:p>
      <w:pPr>
        <w:jc w:val="both"/>
      </w:pPr>
      <w:r>
        <w:rPr>
          <w:sz w:val="20"/>
        </w:rPr>
        <w:t>The LoRA fine-tuning completed in approximately 1-2 hours for 15 epochs. The loss decreased smoothly from initial values around 0.15 to approximately 0.08, indicating successful adaptation to the fashion domain. Validation samples generated during training showed progressive improvement in fashion-specific details.</w:t>
      </w:r>
    </w:p>
    <w:p>
      <w:r>
        <w:rPr>
          <w:i/>
          <w:sz w:val="20"/>
        </w:rPr>
        <w:t>B. Generated Samples Analysis</w:t>
      </w:r>
    </w:p>
    <w:p>
      <w:pPr>
        <w:jc w:val="both"/>
      </w:pPr>
      <w:r>
        <w:rPr>
          <w:sz w:val="20"/>
        </w:rPr>
        <w:t>The Projected GAN successfully generates diverse fashion images including dresses, pants, tops, and full outfits. Generated samples exhibit:</w:t>
        <w:br/>
        <w:br/>
        <w:t>- Accurate clothing shapes and proportions</w:t>
        <w:br/>
        <w:t>- Diverse color palettes and patterns</w:t>
        <w:br/>
        <w:t>- Realistic fabric textures</w:t>
        <w:br/>
        <w:t>- Appropriate human body poses</w:t>
        <w:br/>
        <w:br/>
        <w:t>Some limitations observed include occasional body part distortions, artifacts in complex patterns, and color bleeding between garments. These are typical for GANs trained on limited data and training time.</w:t>
        <w:br/>
        <w:br/>
        <w:t>The LoRA-fine-tuned Stable Diffusion model produces high-fidelity fashion images with excellent text-prompt adherence. The model responds well to prompts specifying clothing type, color, style, and background, demonstrating successful domain adaptation while retaining the base model's compositional abilities.</w:t>
      </w:r>
    </w:p>
    <w:p>
      <w:pPr>
        <w:jc w:val="center"/>
      </w:pPr>
      <w:r>
        <w:rPr>
          <w:i/>
          <w:sz w:val="18"/>
        </w:rPr>
        <w:br/>
        <w:t>[Figure 1: Generated fashion samples from Projected GAN (top) and LoRA-fine-tuned Stable Diffusion (bottom)]</w:t>
        <w:br/>
      </w:r>
    </w:p>
    <w:p>
      <w:r>
        <w:rPr>
          <w:b/>
          <w:sz w:val="20"/>
        </w:rPr>
        <w:t>VI. DISCUSSION</w:t>
      </w:r>
    </w:p>
    <w:p>
      <w:pPr>
        <w:jc w:val="both"/>
      </w:pPr>
      <w:r>
        <w:rPr>
          <w:sz w:val="20"/>
        </w:rPr>
        <w:t>The two approaches offer complementary strengths. Projected GANs provide fast, unconditional generation suitable for bulk content creation and data augmentation. The lightweight architecture enables rapid inference and easy deployment. However, lack of conditional control limits applicability for specific design requirements.</w:t>
      </w:r>
    </w:p>
    <w:p>
      <w:pPr>
        <w:jc w:val="both"/>
      </w:pPr>
      <w:r>
        <w:rPr>
          <w:sz w:val="20"/>
        </w:rPr>
        <w:t>LoRA fine-tuning of Stable Diffusion offers text-based control, enabling generation of specific clothing types, colors, and styles through natural language prompts. The larger model capacity produces higher-fidelity results. However, inference is slower and requires more VRAM.</w:t>
      </w:r>
    </w:p>
    <w:p>
      <w:pPr>
        <w:jc w:val="both"/>
      </w:pPr>
      <w:r>
        <w:rPr>
          <w:sz w:val="20"/>
        </w:rPr>
        <w:t>The stability techniques implemented proved essential for successful GAN training. Without spectral normalization and proper gradient clipping, training frequently collapsed with NaN losses. The frozen pretrained discriminator backbone significantly reduced training time compared to training a discriminator from scratch while providing rich multi-scale features.</w:t>
      </w:r>
    </w:p>
    <w:p>
      <w:r>
        <w:rPr>
          <w:b/>
          <w:sz w:val="20"/>
        </w:rPr>
        <w:t>VII. CONCLUSION</w:t>
      </w:r>
    </w:p>
    <w:p>
      <w:pPr>
        <w:jc w:val="both"/>
      </w:pPr>
      <w:r>
        <w:rPr>
          <w:sz w:val="20"/>
        </w:rPr>
        <w:t>This paper presented a dual-approach system for fashion image generation combining Projected GANs and LoRA-fine-tuned Stable Diffusion. We demonstrated that with appropriate stability techniques, high-quality fashion image generation is achievable on consumer-grade hardware within reasonable training times (11-12 hours for GAN, 1-2 hours for LoRA).</w:t>
        <w:br/>
        <w:br/>
        <w:t>Future work includes: (1) implementing conditional Projected GAN variants for attribute-controlled generation, (2) exploring larger datasets for improved diversity, (3) investigating hybrid approaches combining GAN speed with diffusion quality, and (4) developing evaluation metrics specific to fashion image quality assessment.</w:t>
        <w:br/>
        <w:br/>
        <w:t>The complete implementation is available for research purposes, providing a foundation for further exploration of generative models in fashion applications.</w:t>
      </w:r>
    </w:p>
    <w:p>
      <w:r>
        <w:rPr>
          <w:b/>
          <w:sz w:val="20"/>
        </w:rPr>
        <w:t>REFERENCES</w:t>
      </w:r>
    </w:p>
    <w:p>
      <w:pPr>
        <w:jc w:val="both"/>
      </w:pPr>
      <w:r>
        <w:rPr>
          <w:rFonts w:ascii="Times New Roman" w:hAnsi="Times New Roman"/>
          <w:sz w:val="16"/>
        </w:rPr>
        <w:t>[1] I. Goodfellow et al., "Generative Adversarial Nets," in Advances in Neural Information Processing Systems, 2014.</w:t>
      </w:r>
    </w:p>
    <w:p>
      <w:pPr>
        <w:jc w:val="both"/>
      </w:pPr>
      <w:r>
        <w:rPr>
          <w:rFonts w:ascii="Times New Roman" w:hAnsi="Times New Roman"/>
          <w:sz w:val="16"/>
        </w:rPr>
        <w:t>[2] A. Sauer, K. Schwarz, and A. Geiger, "Projected GANs Converge Faster," in Advances in Neural Information Processing Systems, 2021.</w:t>
      </w:r>
    </w:p>
    <w:p>
      <w:pPr>
        <w:jc w:val="both"/>
      </w:pPr>
      <w:r>
        <w:rPr>
          <w:rFonts w:ascii="Times New Roman" w:hAnsi="Times New Roman"/>
          <w:sz w:val="16"/>
        </w:rPr>
        <w:t>[3] R. Rombach et al., "High-Resolution Image Synthesis with Latent Diffusion Models," in IEEE/CVF Conference on Computer Vision and Pattern Recognition, 2022.</w:t>
      </w:r>
    </w:p>
    <w:p>
      <w:pPr>
        <w:jc w:val="both"/>
      </w:pPr>
      <w:r>
        <w:rPr>
          <w:rFonts w:ascii="Times New Roman" w:hAnsi="Times New Roman"/>
          <w:sz w:val="16"/>
        </w:rPr>
        <w:t>[4] E. J. Hu et al., "LoRA: Low-Rank Adaptation of Large Language Models," in International Conference on Learning Representations, 2022.</w:t>
      </w:r>
    </w:p>
    <w:p>
      <w:pPr>
        <w:jc w:val="both"/>
      </w:pPr>
      <w:r>
        <w:rPr>
          <w:rFonts w:ascii="Times New Roman" w:hAnsi="Times New Roman"/>
          <w:sz w:val="16"/>
        </w:rPr>
        <w:t>[5] T. Karras, S. Laine, and T. Aila, "A Style-Based Generator Architecture for Generative Adversarial Networks," in IEEE/CVF Conference on Computer Vision and Pattern Recognition, 2019.</w:t>
      </w:r>
    </w:p>
    <w:p>
      <w:pPr>
        <w:jc w:val="both"/>
      </w:pPr>
      <w:r>
        <w:rPr>
          <w:rFonts w:ascii="Times New Roman" w:hAnsi="Times New Roman"/>
          <w:sz w:val="16"/>
        </w:rPr>
        <w:t>[6] T. Karras et al., "Analyzing and Improving the Image Quality of StyleGAN," in IEEE/CVF Conference on Computer Vision and Pattern Recognition, 2020.</w:t>
      </w:r>
    </w:p>
    <w:p>
      <w:pPr>
        <w:jc w:val="both"/>
      </w:pPr>
      <w:r>
        <w:rPr>
          <w:rFonts w:ascii="Times New Roman" w:hAnsi="Times New Roman"/>
          <w:sz w:val="16"/>
        </w:rPr>
        <w:t>[7] J. Ho, A. Jain, and P. Abbeel, "Denoising Diffusion Probabilistic Models," in Advances in Neural Information Processing Systems, 2020.</w:t>
      </w:r>
    </w:p>
    <w:p>
      <w:pPr>
        <w:jc w:val="both"/>
      </w:pPr>
      <w:r>
        <w:rPr>
          <w:rFonts w:ascii="Times New Roman" w:hAnsi="Times New Roman"/>
          <w:sz w:val="16"/>
        </w:rPr>
        <w:t>[8] Z. Liu et al., "DeepFashion: Powering Robust Clothes Recognition and Retrieval with Rich Annotations," in IEEE Conference on Computer Vision and Pattern Recognition, 2016.</w:t>
      </w:r>
    </w:p>
    <w:sectPr w:rsidR="00FC693F" w:rsidRPr="0006063C" w:rsidSect="00034616">
      <w:pgSz w:w="12240" w:h="15840"/>
      <w:pgMar w:top="1077" w:right="890" w:bottom="144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