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391098022461" w:right="0" w:firstLine="0"/>
        <w:jc w:val="left"/>
        <w:rPr>
          <w:rFonts w:ascii="Calibri" w:cs="Calibri" w:eastAsia="Calibri" w:hAnsi="Calibri"/>
          <w:b w:val="1"/>
          <w:i w:val="0"/>
          <w:smallCaps w:val="0"/>
          <w:strike w:val="0"/>
          <w:color w:val="082a7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82a75"/>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626953125" w:line="240" w:lineRule="auto"/>
        <w:ind w:left="3311.356620788574"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-20903</wp:posOffset>
            </wp:positionV>
            <wp:extent cx="1799717" cy="1009015"/>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3083625</wp:posOffset>
            </wp:positionH>
            <wp:positionV relativeFrom="paragraph">
              <wp:posOffset>34849</wp:posOffset>
            </wp:positionV>
            <wp:extent cx="1818005" cy="1104265"/>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18005" cy="110426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9326171875" w:line="240" w:lineRule="auto"/>
        <w:ind w:left="3327.179374694824"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No. 2021-03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4013671875" w:line="240" w:lineRule="auto"/>
        <w:ind w:left="0.6240081787109375" w:right="0" w:firstLine="0"/>
        <w:jc w:val="left"/>
        <w:rPr>
          <w:rFonts w:ascii="Arial" w:cs="Arial" w:eastAsia="Arial" w:hAnsi="Arial"/>
          <w:b w:val="1"/>
          <w:i w:val="0"/>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1"/>
          <w:i w:val="0"/>
          <w:smallCaps w:val="0"/>
          <w:strike w:val="0"/>
          <w:color w:val="377087"/>
          <w:sz w:val="49.91999816894531"/>
          <w:szCs w:val="49.91999816894531"/>
          <w:u w:val="none"/>
          <w:shd w:fill="auto" w:val="clear"/>
          <w:vertAlign w:val="baseline"/>
          <w:rtl w:val="0"/>
        </w:rPr>
        <w:t xml:space="preserve">CONE ZONE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349609375" w:line="240" w:lineRule="auto"/>
        <w:ind w:left="0"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Benefits of Safety Zones</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0751953125" w:line="231.2314224243164" w:lineRule="auto"/>
        <w:ind w:left="123.04798126220703" w:right="114.91455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safety zone is provided for two important reasons - firstly to protect you from traffic and secondly to protect the traffic  from you.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64.95387077331543" w:lineRule="auto"/>
        <w:ind w:left="123.04798126220703" w:right="465.10009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safety zone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must 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entered in the normal course of work and materials and equipment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must 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placed  within the zone. It should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entered to maintain cones and other road signs </w:t>
      </w:r>
      <w:r w:rsidDel="00000000" w:rsidR="00000000" w:rsidRPr="00000000">
        <w:drawing>
          <wp:anchor allowOverlap="1" behindDoc="0" distB="19050" distT="19050" distL="19050" distR="19050" hidden="0" layoutInCell="1" locked="0" relativeHeight="0" simplePos="0">
            <wp:simplePos x="0" y="0"/>
            <wp:positionH relativeFrom="column">
              <wp:posOffset>334906</wp:posOffset>
            </wp:positionH>
            <wp:positionV relativeFrom="paragraph">
              <wp:posOffset>-28066</wp:posOffset>
            </wp:positionV>
            <wp:extent cx="6308090" cy="41783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255859375" w:line="240" w:lineRule="auto"/>
        <w:ind w:left="131.21044158935547"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Setting out Safety Zones</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231.23335361480713" w:lineRule="auto"/>
        <w:ind w:left="127.2311782836914" w:right="119.217529296875" w:hanging="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setting out cones, ensure sideways clearance is provided between the cones and the barriers. This should be 0.5m  on roads 40mph or less, and 1.2m for 50mph and above.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273849487305" w:lineRule="auto"/>
        <w:ind w:left="127.43038177490234" w:right="116.6259765625" w:firstLine="2.58964538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Safety zones should be set out according to the code of practice (Red Book) and not omitted from the site. Zone dimensions  are given inside the back cover of the Red Book and should be set out accordingly wherever possible.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4109497070312" w:line="231.2326955795288" w:lineRule="auto"/>
        <w:ind w:left="123.04798126220703" w:right="109.72900390625" w:firstLine="14.3424224853515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Failure to comply can lead to death or serious injury to you and members of the public. Non-compliance could also lead to  the issuing of a inadequacy notice or a prosecution under s65 (NRSWA) by a Highway Authority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011962890625" w:line="231.2326955795288" w:lineRule="auto"/>
        <w:ind w:left="123.04798126220703" w:right="117.18139648437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working on a footway, remember you must provide a safety zone in the carriageway if the working space is closer  to the edge of the carriageway than the width of the sideways clearance.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04638671875" w:line="281.5236568450928" w:lineRule="auto"/>
        <w:ind w:left="9225.562744140625" w:right="106.826171875" w:hanging="9087.17651367187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barriers or a pedestrian walkway are placed in the road, signing and guarding of the safety zone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must be carried out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1"/>
          <w:color w:val="082a75"/>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done before the footway is blocked. These same principles apply when working in a verge adjacent to the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2719573974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carriageway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5.697021484375" w:firstLine="0"/>
        <w:jc w:val="righ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061645507812" w:line="240" w:lineRule="auto"/>
        <w:ind w:left="0" w:right="149.000244140625" w:firstLine="0"/>
        <w:jc w:val="righ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Pr>
        <w:drawing>
          <wp:inline distB="19050" distT="19050" distL="19050" distR="19050">
            <wp:extent cx="1004570" cy="37211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948486328125" w:line="281.8149948120117" w:lineRule="auto"/>
        <w:ind w:left="194.43119049072266" w:right="133.3203125" w:hanging="5.776748657226562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374.4000244140625" w:top="252.000732421875" w:left="532.5407791137695" w:right="706.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