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6876" w:left="0"/>
        <w:spacing w:before="17" w:after="1476" w:line="240" w:lineRule="auto"/>
        <w:jc w:val="left"/>
      </w:pPr>
      <w:r>
        <w:drawing>
          <wp:inline>
            <wp:extent cx="1386840" cy="87757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2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1B1D3C"/>
          <w:sz w:val="6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09.75pt;height:13.7pt;z-index:-1000;margin-left:42.45pt;margin-top:800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right"/>
                    <w:framePr w:hAnchor="page" w:vAnchor="page" w:x="849" w:y="16015" w:w="10195" w:h="274" w:hSpace="0" w:vSpace="0" w:wrap="3"/>
                    <w:rPr>
                      <w:color w:val="#000000"/>
                      <w:sz w:val="28"/>
                      <w:lang w:val="en-US"/>
                      <w:spacing w:val="0"/>
                      <w:w w:val="10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28"/>
                      <w:lang w:val="en-US"/>
                      <w:spacing w:val="0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March 2023</w:t>
                  </w:r>
                </w:p>
              </w:txbxContent>
            </v:textbox>
          </v:shape>
        </w:pict>
      </w:r>
      <w:r>
        <w:rPr>
          <w:b w:val="true"/>
          <w:color w:val="#1B1D3C"/>
          <w:sz w:val="6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Code of practice for the</w:t>
      </w:r>
    </w:p>
    <w:p>
      <w:pPr>
        <w:ind w:right="0" w:left="0" w:firstLine="0"/>
        <w:spacing w:before="0" w:after="0" w:line="204" w:lineRule="auto"/>
        <w:jc w:val="center"/>
        <w:rPr>
          <w:b w:val="true"/>
          <w:color w:val="#1B1D3C"/>
          <w:sz w:val="60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1B1D3C"/>
          <w:sz w:val="60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co-ordination of street and road</w:t>
      </w:r>
    </w:p>
    <w:p>
      <w:pPr>
        <w:ind w:right="0" w:left="0" w:firstLine="0"/>
        <w:spacing w:before="144" w:after="0" w:line="201" w:lineRule="auto"/>
        <w:jc w:val="left"/>
        <w:rPr>
          <w:b w:val="true"/>
          <w:color w:val="#1B1D3C"/>
          <w:sz w:val="6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1B1D3C"/>
          <w:sz w:val="6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works</w:t>
      </w:r>
    </w:p>
    <w:p>
      <w:pPr>
        <w:sectPr>
          <w:pgSz w:w="11918" w:h="16854" w:orient="portrait"/>
          <w:type w:val="nextPage"/>
          <w:textDirection w:val="lrTb"/>
          <w:pgMar w:bottom="509" w:top="796" w:right="1949" w:left="849" w:header="720" w:footer="720"/>
          <w:titlePg w:val="false"/>
        </w:sectPr>
      </w:pPr>
    </w:p>
    <w:p>
      <w:pPr>
        <w:ind w:right="684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Department for Transport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Great Minster House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33 Horseferry Road</w:t>
      </w:r>
    </w:p>
    <w:p>
      <w:pPr>
        <w:ind w:right="0" w:left="0" w:firstLine="0"/>
        <w:spacing w:before="0" w:after="0" w:line="206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London SW1P 4DR</w:t>
      </w:r>
    </w:p>
    <w:p>
      <w:pPr>
        <w:ind w:right="8522" w:left="5"/>
        <w:spacing w:before="0" w:after="288" w:line="240" w:lineRule="auto"/>
        <w:jc w:val="left"/>
      </w:pPr>
      <w:r>
        <w:drawing>
          <wp:inline>
            <wp:extent cx="630555" cy="250190"/>
            <wp:docPr id="3" name="pic"/>
            <a:graphic>
              <a:graphicData uri="http://schemas.openxmlformats.org/drawingml/2006/picture">
                <pic:pic>
                  <pic:nvPicPr>
                    <pic:cNvPr id="4" name="test1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© Crown copyright 2023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This publication is licensed under the terms of the Open Government Licence v3.0 except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where otherwise stated. To view this licence, visit </w:t>
      </w:r>
      <w:hyperlink r:id="drId5">
        <w:r>
          <w:rPr>
            <w:color w:val="#0000FF"/>
            <w:sz w:val="24"/>
            <w:lang w:val="en-US"/>
            <w:spacing w:val="-4"/>
            <w:w w:val="105"/>
            <w:strike w:val="false"/>
            <w:u w:val="single"/>
            <w:vertAlign w:val="baseline"/>
            <w:rFonts w:ascii="Arial" w:hAnsi="Arial"/>
          </w:rPr>
          <w:t xml:space="preserve">https://www.nationalarchives.gov.uk/doc/open-government-licence/version/3/</w:t>
        </w:r>
      </w:hyperlink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 or contact, 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The National Archives at</w:t>
      </w:r>
      <w:r>
        <w:rPr>
          <w:color w:val="#004D3A"/>
          <w:sz w:val="24"/>
          <w:lang w:val="en-US"/>
          <w:spacing w:val="-3"/>
          <w:w w:val="105"/>
          <w:strike w:val="false"/>
          <w:u w:val="single"/>
          <w:vertAlign w:val="baseline"/>
          <w:rFonts w:ascii="Arial" w:hAnsi="Arial"/>
        </w:rPr>
        <w:t xml:space="preserve"> </w:t>
      </w:r>
      <w:hyperlink r:id="drId6">
        <w:r>
          <w:rPr>
            <w:color w:val="#0000FF"/>
            <w:sz w:val="24"/>
            <w:lang w:val="en-US"/>
            <w:spacing w:val="-3"/>
            <w:w w:val="105"/>
            <w:strike w:val="false"/>
            <w:u w:val="single"/>
            <w:vertAlign w:val="baseline"/>
            <w:rFonts w:ascii="Arial" w:hAnsi="Arial"/>
          </w:rPr>
          <w:t xml:space="preserve">www.nationalarchives.gov.uk/contact-us.</w:t>
        </w:r>
      </w:hyperlink>
      <w:r>
        <w:rPr>
          <w:color w:val="#004D3A"/>
          <w:sz w:val="6"/>
          <w:lang w:val="en-US"/>
          <w:spacing w:val="-3"/>
          <w:w w:val="100"/>
          <w:strike w:val="false"/>
          <w:vertAlign w:val="baseline"/>
          <w:rFonts w:ascii="Arial" w:hAnsi="Arial"/>
        </w:rPr>
      </w:r>
    </w:p>
    <w:p>
      <w:pPr>
        <w:ind w:right="504" w:left="0" w:firstLine="0"/>
        <w:spacing w:before="324" w:after="0" w:line="240" w:lineRule="auto"/>
        <w:jc w:val="left"/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Where we have identified any third-party copyright information you will need to obtain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permission from the copyright holders concerned.</w:t>
      </w:r>
    </w:p>
    <w:p>
      <w:pPr>
        <w:ind w:right="2736" w:left="0" w:firstLine="0"/>
        <w:spacing w:before="288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This publication is also available on our website at </w:t>
      </w:r>
      <w:hyperlink r:id="drId7">
        <w:r>
          <w:rPr>
            <w:color w:val="#0000FF"/>
            <w:sz w:val="24"/>
            <w:lang w:val="en-US"/>
            <w:spacing w:val="-6"/>
            <w:w w:val="105"/>
            <w:strike w:val="false"/>
            <w:u w:val="single"/>
            <w:vertAlign w:val="baseline"/>
            <w:rFonts w:ascii="Arial" w:hAnsi="Arial"/>
          </w:rPr>
          <w:t xml:space="preserve">www.gov.uk/government/organisations/department-for-transport</w:t>
        </w:r>
      </w:hyperlink>
      <w:r>
        <w:rPr>
          <w:color w:val="#004D3A"/>
          <w:sz w:val="6"/>
          <w:lang w:val="en-US"/>
          <w:spacing w:val="-6"/>
          <w:w w:val="100"/>
          <w:strike w:val="false"/>
          <w:vertAlign w:val="baseline"/>
          <w:rFonts w:ascii="Arial" w:hAnsi="Arial"/>
        </w:rPr>
      </w:r>
    </w:p>
    <w:p>
      <w:pPr>
        <w:ind w:right="2736" w:left="0" w:firstLine="0"/>
        <w:spacing w:before="252" w:after="0" w:line="240" w:lineRule="auto"/>
        <w:jc w:val="left"/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Any enquiries regarding this publication should be sent to us at </w:t>
      </w:r>
      <w:hyperlink r:id="drId8">
        <w:r>
          <w:rPr>
            <w:color w:val="#0000FF"/>
            <w:sz w:val="24"/>
            <w:lang w:val="en-US"/>
            <w:spacing w:val="-6"/>
            <w:w w:val="105"/>
            <w:strike w:val="false"/>
            <w:u w:val="single"/>
            <w:vertAlign w:val="baseline"/>
            <w:rFonts w:ascii="Arial" w:hAnsi="Arial"/>
          </w:rPr>
          <w:t xml:space="preserve">www.gov.uk/government/organisations/department-for-transport</w:t>
        </w:r>
      </w:hyperlink>
      <w:r>
        <w:rPr>
          <w:color w:val="#004D3A"/>
          <w:sz w:val="6"/>
          <w:lang w:val="en-US"/>
          <w:spacing w:val="-6"/>
          <w:w w:val="100"/>
          <w:strike w:val="false"/>
          <w:vertAlign w:val="baseline"/>
          <w:rFonts w:ascii="Arial" w:hAnsi="Arial"/>
        </w:rPr>
      </w:r>
    </w:p>
    <w:p>
      <w:pPr>
        <w:sectPr>
          <w:pgSz w:w="11918" w:h="16854" w:orient="portrait"/>
          <w:type w:val="nextPage"/>
          <w:textDirection w:val="lrTb"/>
          <w:pgMar w:bottom="528" w:top="9696" w:right="1131" w:left="1207" w:header="720" w:footer="720"/>
          <w:titlePg w:val="false"/>
        </w:sectPr>
      </w:pPr>
    </w:p>
    <w:p>
      <w:pPr>
        <w:ind w:right="0" w:left="72" w:firstLine="0"/>
        <w:spacing w:before="0" w:after="1872" w:line="206" w:lineRule="auto"/>
        <w:jc w:val="left"/>
        <w:rPr>
          <w:color w:val="#4966AC"/>
          <w:sz w:val="4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4966AC"/>
          <w:sz w:val="4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Contents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9420"/>
        </w:tabs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Executive summary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6</w:t>
      </w:r>
    </w:p>
    <w:p>
      <w:pPr>
        <w:ind w:right="0" w:left="72" w:firstLine="0"/>
        <w:spacing w:before="108" w:after="0" w:line="240" w:lineRule="auto"/>
        <w:jc w:val="left"/>
        <w:tabs>
          <w:tab w:val="right" w:leader="none" w:pos="9420"/>
        </w:tabs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Chapter 1 - Introduction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8</w:t>
      </w:r>
    </w:p>
    <w:p>
      <w:pPr>
        <w:ind w:right="0" w:left="360" w:firstLine="0"/>
        <w:spacing w:before="144" w:after="0" w:line="206" w:lineRule="auto"/>
        <w:jc w:val="left"/>
        <w:tabs>
          <w:tab w:val="decimal" w:leader="none" w:pos="530"/>
          <w:tab w:val="left" w:leader="none" w:pos="1544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1.1	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Introduction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8</w:t>
      </w:r>
    </w:p>
    <w:p>
      <w:pPr>
        <w:ind w:right="0" w:left="360" w:firstLine="0"/>
        <w:spacing w:before="108" w:after="0" w:line="240" w:lineRule="auto"/>
        <w:jc w:val="left"/>
        <w:tabs>
          <w:tab w:val="decimal" w:leader="none" w:pos="530"/>
          <w:tab w:val="left" w:leader="none" w:pos="1544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1.2	</w:t>
      </w: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Legislative framework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9</w:t>
      </w:r>
    </w:p>
    <w:p>
      <w:pPr>
        <w:ind w:right="0" w:left="360" w:firstLine="0"/>
        <w:spacing w:before="144" w:after="0" w:line="240" w:lineRule="auto"/>
        <w:jc w:val="left"/>
        <w:tabs>
          <w:tab w:val="decimal" w:leader="none" w:pos="530"/>
          <w:tab w:val="left" w:leader="none" w:pos="1544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4"/>
          <w:lang w:val="en-US"/>
          <w:spacing w:val="-34"/>
          <w:w w:val="100"/>
          <w:strike w:val="false"/>
          <w:vertAlign w:val="baseline"/>
          <w:rFonts w:ascii="Arial" w:hAnsi="Arial"/>
        </w:rPr>
        <w:t xml:space="preserve">1.3	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Other statutory obligations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10</w:t>
      </w:r>
    </w:p>
    <w:p>
      <w:pPr>
        <w:ind w:right="0" w:left="72" w:firstLine="0"/>
        <w:spacing w:before="144" w:after="0" w:line="240" w:lineRule="auto"/>
        <w:jc w:val="left"/>
        <w:tabs>
          <w:tab w:val="right" w:leader="none" w:pos="9420"/>
        </w:tabs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Chapter 2 – Co-ordination and collaboration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12</w:t>
      </w:r>
    </w:p>
    <w:p>
      <w:pPr>
        <w:ind w:right="0" w:left="360" w:firstLine="0"/>
        <w:spacing w:before="144" w:after="0" w:line="206" w:lineRule="auto"/>
        <w:jc w:val="left"/>
        <w:tabs>
          <w:tab w:val="decimal" w:leader="none" w:pos="530"/>
          <w:tab w:val="left" w:leader="none" w:pos="1544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2.1	</w:t>
      </w:r>
      <w:r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Introduction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12</w:t>
      </w:r>
    </w:p>
    <w:p>
      <w:pPr>
        <w:ind w:right="0" w:left="360" w:firstLine="0"/>
        <w:spacing w:before="144" w:after="0" w:line="208" w:lineRule="auto"/>
        <w:jc w:val="left"/>
        <w:tabs>
          <w:tab w:val="decimal" w:leader="none" w:pos="530"/>
          <w:tab w:val="left" w:leader="none" w:pos="1544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2.2	</w:t>
      </w:r>
      <w:r>
        <w:rPr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Information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12</w:t>
      </w:r>
    </w:p>
    <w:p>
      <w:pPr>
        <w:ind w:right="0" w:left="360" w:firstLine="0"/>
        <w:spacing w:before="144" w:after="0" w:line="240" w:lineRule="auto"/>
        <w:jc w:val="left"/>
        <w:tabs>
          <w:tab w:val="decimal" w:leader="none" w:pos="530"/>
          <w:tab w:val="left" w:leader="none" w:pos="1544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2.3	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Analysis and assessment considerations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15</w:t>
      </w:r>
    </w:p>
    <w:p>
      <w:pPr>
        <w:ind w:right="0" w:left="360" w:firstLine="0"/>
        <w:spacing w:before="108" w:after="0" w:line="240" w:lineRule="auto"/>
        <w:jc w:val="left"/>
        <w:tabs>
          <w:tab w:val="decimal" w:leader="none" w:pos="530"/>
          <w:tab w:val="left" w:leader="none" w:pos="1544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2.4	</w:t>
      </w:r>
      <w:r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Co-operation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16</w:t>
      </w:r>
    </w:p>
    <w:p>
      <w:pPr>
        <w:ind w:right="0" w:left="360" w:firstLine="0"/>
        <w:spacing w:before="144" w:after="0" w:line="240" w:lineRule="auto"/>
        <w:jc w:val="left"/>
        <w:tabs>
          <w:tab w:val="decimal" w:leader="none" w:pos="530"/>
          <w:tab w:val="left" w:leader="none" w:pos="1544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2.5	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Collaborative working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16</w:t>
      </w:r>
    </w:p>
    <w:p>
      <w:pPr>
        <w:ind w:right="0" w:left="72" w:firstLine="0"/>
        <w:spacing w:before="144" w:after="0" w:line="240" w:lineRule="auto"/>
        <w:jc w:val="left"/>
        <w:tabs>
          <w:tab w:val="right" w:leader="none" w:pos="9420"/>
        </w:tabs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Chapter 3 - The national street gazetteer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22</w:t>
      </w:r>
    </w:p>
    <w:p>
      <w:pPr>
        <w:ind w:right="0" w:left="360" w:firstLine="0"/>
        <w:spacing w:before="144" w:after="0" w:line="206" w:lineRule="auto"/>
        <w:jc w:val="left"/>
        <w:tabs>
          <w:tab w:val="decimal" w:leader="none" w:pos="530"/>
          <w:tab w:val="left" w:leader="none" w:pos="1544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3.1	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Introduction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22</w:t>
      </w:r>
    </w:p>
    <w:p>
      <w:pPr>
        <w:ind w:right="0" w:left="360" w:firstLine="0"/>
        <w:spacing w:before="144" w:after="0" w:line="240" w:lineRule="auto"/>
        <w:jc w:val="left"/>
        <w:tabs>
          <w:tab w:val="decimal" w:leader="none" w:pos="530"/>
          <w:tab w:val="left" w:leader="none" w:pos="1544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3.2	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The local and national street gazetteers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22</w:t>
      </w:r>
    </w:p>
    <w:p>
      <w:pPr>
        <w:ind w:right="0" w:left="360" w:firstLine="0"/>
        <w:spacing w:before="144" w:after="0" w:line="206" w:lineRule="auto"/>
        <w:jc w:val="left"/>
        <w:tabs>
          <w:tab w:val="decimal" w:leader="none" w:pos="530"/>
          <w:tab w:val="left" w:leader="none" w:pos="1544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3.3	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Additional street data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22</w:t>
      </w:r>
    </w:p>
    <w:p>
      <w:pPr>
        <w:ind w:right="0" w:left="360" w:firstLine="0"/>
        <w:spacing w:before="144" w:after="0" w:line="240" w:lineRule="auto"/>
        <w:jc w:val="left"/>
        <w:tabs>
          <w:tab w:val="decimal" w:leader="none" w:pos="530"/>
          <w:tab w:val="left" w:leader="none" w:pos="1544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4"/>
          <w:lang w:val="en-US"/>
          <w:spacing w:val="-32"/>
          <w:w w:val="100"/>
          <w:strike w:val="false"/>
          <w:vertAlign w:val="baseline"/>
          <w:rFonts w:ascii="Arial" w:hAnsi="Arial"/>
        </w:rPr>
        <w:t xml:space="preserve">3.4	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Maintaining and updating the LSG and ASD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24</w:t>
      </w:r>
    </w:p>
    <w:p>
      <w:pPr>
        <w:ind w:right="0" w:left="72" w:firstLine="0"/>
        <w:spacing w:before="144" w:after="0" w:line="240" w:lineRule="auto"/>
        <w:jc w:val="left"/>
        <w:tabs>
          <w:tab w:val="right" w:leader="none" w:pos="9420"/>
        </w:tabs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Chapter 4 - Register of works in a street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28</w:t>
      </w:r>
    </w:p>
    <w:p>
      <w:pPr>
        <w:ind w:right="0" w:left="360" w:firstLine="0"/>
        <w:spacing w:before="144" w:after="0" w:line="204" w:lineRule="auto"/>
        <w:jc w:val="left"/>
        <w:tabs>
          <w:tab w:val="decimal" w:leader="none" w:pos="530"/>
          <w:tab w:val="left" w:leader="none" w:pos="1544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4.1	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Introduction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28</w:t>
      </w:r>
    </w:p>
    <w:p>
      <w:pPr>
        <w:ind w:right="0" w:left="360" w:firstLine="0"/>
        <w:spacing w:before="108" w:after="0" w:line="240" w:lineRule="auto"/>
        <w:jc w:val="left"/>
        <w:tabs>
          <w:tab w:val="decimal" w:leader="none" w:pos="530"/>
          <w:tab w:val="left" w:leader="none" w:pos="1544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4.2	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Public access to information contained in street manager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29</w:t>
      </w:r>
    </w:p>
    <w:p>
      <w:pPr>
        <w:ind w:right="0" w:left="360" w:firstLine="0"/>
        <w:spacing w:before="144" w:after="0" w:line="240" w:lineRule="auto"/>
        <w:jc w:val="left"/>
        <w:tabs>
          <w:tab w:val="decimal" w:leader="none" w:pos="530"/>
          <w:tab w:val="left" w:leader="none" w:pos="1544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4.3	</w:t>
      </w:r>
      <w:r>
        <w:rPr>
          <w:color w:val="#000000"/>
          <w:sz w:val="24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Entering information on the register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29</w:t>
      </w:r>
    </w:p>
    <w:p>
      <w:pPr>
        <w:ind w:right="0" w:left="360" w:firstLine="0"/>
        <w:spacing w:before="108" w:after="0" w:line="240" w:lineRule="auto"/>
        <w:jc w:val="left"/>
        <w:tabs>
          <w:tab w:val="decimal" w:leader="none" w:pos="530"/>
          <w:tab w:val="left" w:leader="none" w:pos="1544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4.4	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Requirements for Street Manager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29</w:t>
      </w:r>
    </w:p>
    <w:p>
      <w:pPr>
        <w:ind w:right="0" w:left="72" w:firstLine="0"/>
        <w:spacing w:before="144" w:after="0" w:line="240" w:lineRule="auto"/>
        <w:jc w:val="left"/>
        <w:tabs>
          <w:tab w:val="right" w:leader="none" w:pos="9392"/>
        </w:tabs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Chapter 5 - Streets subject to special controls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31</w:t>
      </w:r>
    </w:p>
    <w:p>
      <w:pPr>
        <w:ind w:right="0" w:left="360" w:firstLine="0"/>
        <w:spacing w:before="144" w:after="0" w:line="206" w:lineRule="auto"/>
        <w:jc w:val="left"/>
        <w:tabs>
          <w:tab w:val="decimal" w:leader="none" w:pos="530"/>
          <w:tab w:val="left" w:leader="none" w:pos="1544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5.1	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Introduction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31</w:t>
      </w:r>
    </w:p>
    <w:p>
      <w:pPr>
        <w:ind w:right="0" w:left="360" w:firstLine="0"/>
        <w:spacing w:before="180" w:after="0" w:line="204" w:lineRule="auto"/>
        <w:jc w:val="left"/>
        <w:tabs>
          <w:tab w:val="decimal" w:leader="none" w:pos="530"/>
          <w:tab w:val="left" w:leader="none" w:pos="1544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5.2	</w:t>
      </w: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Protected streets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32</w:t>
      </w:r>
    </w:p>
    <w:p>
      <w:pPr>
        <w:ind w:right="0" w:left="360" w:firstLine="0"/>
        <w:spacing w:before="144" w:after="0" w:line="240" w:lineRule="auto"/>
        <w:jc w:val="left"/>
        <w:tabs>
          <w:tab w:val="decimal" w:leader="none" w:pos="530"/>
          <w:tab w:val="left" w:leader="none" w:pos="1544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5.3	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Streets with special engineering difficulties (SED)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33</w:t>
      </w:r>
    </w:p>
    <w:p>
      <w:pPr>
        <w:sectPr>
          <w:pgSz w:w="11918" w:h="16854" w:orient="portrait"/>
          <w:type w:val="nextPage"/>
          <w:textDirection w:val="lrTb"/>
          <w:pgMar w:bottom="848" w:top="3316" w:right="1139" w:left="1199" w:header="720" w:footer="720"/>
          <w:titlePg w:val="false"/>
        </w:sectPr>
      </w:pPr>
    </w:p>
    <w:p>
      <w:pPr>
        <w:ind w:right="0" w:left="360" w:firstLine="0"/>
        <w:spacing w:before="0" w:after="0" w:line="208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5.4	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Traffic-sensitive streets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36</w:t>
      </w:r>
    </w:p>
    <w:p>
      <w:pPr>
        <w:ind w:right="0" w:left="360" w:firstLine="0"/>
        <w:spacing w:before="108" w:after="0" w:line="240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5.5	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Procedure for making designations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38</w:t>
      </w:r>
    </w:p>
    <w:p>
      <w:pPr>
        <w:ind w:right="0" w:left="360" w:firstLine="0"/>
        <w:spacing w:before="144" w:after="0" w:line="240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5.6	</w:t>
      </w:r>
      <w:r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Review procedure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40</w:t>
      </w:r>
    </w:p>
    <w:p>
      <w:pPr>
        <w:ind w:right="0" w:left="72" w:firstLine="0"/>
        <w:spacing w:before="144" w:after="0" w:line="240" w:lineRule="auto"/>
        <w:jc w:val="left"/>
        <w:tabs>
          <w:tab w:val="right" w:leader="none" w:pos="9420"/>
        </w:tabs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Chapter 6 - Restrictions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42</w:t>
      </w:r>
    </w:p>
    <w:p>
      <w:pPr>
        <w:ind w:right="0" w:left="360" w:firstLine="0"/>
        <w:spacing w:before="144" w:after="0" w:line="206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6.1	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Introduction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42</w:t>
      </w:r>
    </w:p>
    <w:p>
      <w:pPr>
        <w:ind w:right="0" w:left="360" w:firstLine="0"/>
        <w:spacing w:before="180" w:after="0" w:line="208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6.2	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Substantial works – definitions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43</w:t>
      </w:r>
    </w:p>
    <w:p>
      <w:pPr>
        <w:ind w:right="0" w:left="360" w:firstLine="0"/>
        <w:spacing w:before="108" w:after="0" w:line="240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6.3	</w:t>
      </w: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Creating a restriction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44</w:t>
      </w:r>
    </w:p>
    <w:p>
      <w:pPr>
        <w:ind w:right="0" w:left="360" w:firstLine="0"/>
        <w:spacing w:before="144" w:after="0" w:line="208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6.4	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Duration of restrictions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48</w:t>
      </w:r>
    </w:p>
    <w:p>
      <w:pPr>
        <w:ind w:right="0" w:left="360" w:firstLine="0"/>
        <w:spacing w:before="144" w:after="0" w:line="240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-4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42"/>
          <w:w w:val="100"/>
          <w:strike w:val="false"/>
          <w:vertAlign w:val="baseline"/>
          <w:rFonts w:ascii="Arial" w:hAnsi="Arial"/>
        </w:rPr>
        <w:t xml:space="preserve">6.5	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Works during a restriction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49</w:t>
      </w:r>
    </w:p>
    <w:p>
      <w:pPr>
        <w:ind w:right="0" w:left="360" w:firstLine="0"/>
        <w:spacing w:before="108" w:after="0" w:line="240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6.6	</w:t>
      </w:r>
      <w:r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Policy guidance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51</w:t>
      </w:r>
    </w:p>
    <w:p>
      <w:pPr>
        <w:ind w:right="0" w:left="360" w:firstLine="0"/>
        <w:spacing w:before="144" w:after="0" w:line="240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6.7	</w:t>
      </w: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Dispute resolution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52</w:t>
      </w:r>
    </w:p>
    <w:p>
      <w:pPr>
        <w:ind w:right="0" w:left="72" w:firstLine="0"/>
        <w:spacing w:before="144" w:after="0" w:line="240" w:lineRule="auto"/>
        <w:jc w:val="left"/>
        <w:tabs>
          <w:tab w:val="right" w:leader="none" w:pos="9420"/>
        </w:tabs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Chapter 7 - Works' classification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53</w:t>
      </w:r>
    </w:p>
    <w:p>
      <w:pPr>
        <w:ind w:right="0" w:left="360" w:firstLine="0"/>
        <w:spacing w:before="144" w:after="0" w:line="206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7.1	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Introduction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53</w:t>
      </w:r>
    </w:p>
    <w:p>
      <w:pPr>
        <w:ind w:right="0" w:left="360" w:firstLine="0"/>
        <w:spacing w:before="144" w:after="0" w:line="240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7.2	</w:t>
      </w: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Legislative background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53</w:t>
      </w:r>
    </w:p>
    <w:p>
      <w:pPr>
        <w:ind w:right="0" w:left="360" w:firstLine="0"/>
        <w:spacing w:before="108" w:after="0" w:line="240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-4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42"/>
          <w:w w:val="100"/>
          <w:strike w:val="false"/>
          <w:vertAlign w:val="baseline"/>
          <w:rFonts w:ascii="Arial" w:hAnsi="Arial"/>
        </w:rPr>
        <w:t xml:space="preserve">7.3	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Works requiring a permit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56</w:t>
      </w:r>
    </w:p>
    <w:p>
      <w:pPr>
        <w:ind w:right="0" w:left="360" w:firstLine="0"/>
        <w:spacing w:before="108" w:after="0" w:line="240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7.4	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Categorisation of works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59</w:t>
      </w:r>
    </w:p>
    <w:p>
      <w:pPr>
        <w:ind w:right="0" w:left="72" w:firstLine="0"/>
        <w:spacing w:before="144" w:after="0" w:line="240" w:lineRule="auto"/>
        <w:jc w:val="left"/>
        <w:tabs>
          <w:tab w:val="right" w:leader="none" w:pos="9420"/>
        </w:tabs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Chapter 8 - General principles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62</w:t>
      </w:r>
    </w:p>
    <w:p>
      <w:pPr>
        <w:ind w:right="0" w:left="360" w:firstLine="0"/>
        <w:spacing w:before="180" w:after="0" w:line="204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8.1	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Introduction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62</w:t>
      </w:r>
    </w:p>
    <w:p>
      <w:pPr>
        <w:ind w:right="0" w:left="360" w:firstLine="0"/>
        <w:spacing w:before="144" w:after="0" w:line="208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8.2	</w:t>
      </w:r>
      <w:r>
        <w:rPr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Common rules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63</w:t>
      </w:r>
    </w:p>
    <w:p>
      <w:pPr>
        <w:ind w:right="0" w:left="360" w:firstLine="0"/>
        <w:spacing w:before="144" w:after="0" w:line="240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8.3	</w:t>
      </w: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Notification types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64</w:t>
      </w:r>
    </w:p>
    <w:p>
      <w:pPr>
        <w:ind w:right="0" w:left="360" w:firstLine="0"/>
        <w:spacing w:before="108" w:after="0" w:line="240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8.4	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Process in the event of Street Manager being unavailable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66</w:t>
      </w:r>
    </w:p>
    <w:p>
      <w:pPr>
        <w:ind w:right="0" w:left="72" w:firstLine="0"/>
        <w:spacing w:before="144" w:after="0" w:line="240" w:lineRule="auto"/>
        <w:jc w:val="left"/>
        <w:tabs>
          <w:tab w:val="right" w:leader="none" w:pos="9420"/>
        </w:tabs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Chapter 9 - Guidance on when a validity window applies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67</w:t>
      </w:r>
    </w:p>
    <w:p>
      <w:pPr>
        <w:ind w:right="0" w:left="360" w:firstLine="0"/>
        <w:spacing w:before="144" w:after="0" w:line="206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9.1	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Introduction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67</w:t>
      </w:r>
    </w:p>
    <w:p>
      <w:pPr>
        <w:ind w:right="0" w:left="360" w:firstLine="0"/>
        <w:spacing w:before="144" w:after="0" w:line="240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9.2	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Explaining the validity window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67</w:t>
      </w:r>
    </w:p>
    <w:p>
      <w:pPr>
        <w:ind w:right="0" w:left="360" w:firstLine="0"/>
        <w:spacing w:before="108" w:after="0" w:line="240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9.3	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Guidance on the start date under NCT01a – planned works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68</w:t>
      </w:r>
    </w:p>
    <w:p>
      <w:pPr>
        <w:ind w:right="0" w:left="360" w:firstLine="0"/>
        <w:spacing w:before="144" w:after="0" w:line="240" w:lineRule="auto"/>
        <w:jc w:val="left"/>
        <w:tabs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9.4	</w:t>
      </w:r>
      <w:r>
        <w:rPr>
          <w:color w:val="#000000"/>
          <w:sz w:val="24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Guidance on using the validity window under NCT01b – planned works 68</w:t>
      </w:r>
    </w:p>
    <w:p>
      <w:pPr>
        <w:ind w:right="0" w:left="72" w:firstLine="0"/>
        <w:spacing w:before="144" w:after="0" w:line="240" w:lineRule="auto"/>
        <w:jc w:val="left"/>
        <w:tabs>
          <w:tab w:val="right" w:leader="none" w:pos="9420"/>
        </w:tabs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Chapter 10 - Charging schemes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70</w:t>
      </w:r>
    </w:p>
    <w:p>
      <w:pPr>
        <w:ind w:right="0" w:left="360" w:firstLine="0"/>
        <w:spacing w:before="144" w:after="0" w:line="204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10.1	</w:t>
      </w:r>
      <w:r>
        <w:rPr>
          <w:color w:val="#000000"/>
          <w:sz w:val="2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Introduction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70</w:t>
      </w:r>
    </w:p>
    <w:p>
      <w:pPr>
        <w:ind w:right="0" w:left="360" w:firstLine="0"/>
        <w:spacing w:before="144" w:after="0" w:line="240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-1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18"/>
          <w:w w:val="100"/>
          <w:strike w:val="false"/>
          <w:vertAlign w:val="baseline"/>
          <w:rFonts w:ascii="Arial" w:hAnsi="Arial"/>
        </w:rPr>
        <w:t xml:space="preserve">10.2	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Section 74A – charge determined by reference to duration of works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70</w:t>
      </w:r>
    </w:p>
    <w:p>
      <w:pPr>
        <w:ind w:right="0" w:left="360" w:firstLine="0"/>
        <w:spacing w:before="108" w:after="0" w:line="240" w:lineRule="auto"/>
        <w:jc w:val="left"/>
        <w:tabs>
          <w:tab w:val="right" w:leader="none" w:pos="8254"/>
        </w:tabs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Arial" w:hAnsi="Arial"/>
        </w:rPr>
        <w:t xml:space="preserve">10.3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Section 74 – charge for occupation of the highway where works</w:t>
      </w:r>
    </w:p>
    <w:p>
      <w:pPr>
        <w:ind w:right="0" w:left="360" w:firstLine="0"/>
        <w:spacing w:before="0" w:after="0" w:line="240" w:lineRule="auto"/>
        <w:jc w:val="left"/>
        <w:tabs>
          <w:tab w:val="right" w:leader="none" w:pos="9420"/>
        </w:tabs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unreasonably prolonged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70</w:t>
      </w:r>
    </w:p>
    <w:p>
      <w:pPr>
        <w:ind w:right="0" w:left="360" w:firstLine="0"/>
        <w:spacing w:before="144" w:after="0" w:line="240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-1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18"/>
          <w:w w:val="100"/>
          <w:strike w:val="false"/>
          <w:vertAlign w:val="baseline"/>
          <w:rFonts w:ascii="Arial" w:hAnsi="Arial"/>
        </w:rPr>
        <w:t xml:space="preserve">10.4	</w:t>
      </w:r>
      <w:r>
        <w:rPr>
          <w:color w:val="#000000"/>
          <w:sz w:val="24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Exempt works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71</w:t>
      </w:r>
    </w:p>
    <w:p>
      <w:pPr>
        <w:ind w:right="0" w:left="360" w:firstLine="0"/>
        <w:spacing w:before="108" w:after="0" w:line="240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Arial" w:hAnsi="Arial"/>
        </w:rPr>
        <w:t xml:space="preserve">10.5	</w:t>
      </w:r>
      <w:r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Prescribed period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72</w:t>
      </w:r>
    </w:p>
    <w:p>
      <w:pPr>
        <w:ind w:right="0" w:left="360" w:firstLine="0"/>
        <w:spacing w:before="108" w:after="0" w:line="240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-2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2"/>
          <w:w w:val="100"/>
          <w:strike w:val="false"/>
          <w:vertAlign w:val="baseline"/>
          <w:rFonts w:ascii="Arial" w:hAnsi="Arial"/>
        </w:rPr>
        <w:t xml:space="preserve">10.6	</w:t>
      </w:r>
      <w:r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Reasonable period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72</w:t>
      </w:r>
    </w:p>
    <w:p>
      <w:pPr>
        <w:ind w:right="0" w:left="360" w:firstLine="0"/>
        <w:spacing w:before="144" w:after="0" w:line="208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-1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18"/>
          <w:w w:val="100"/>
          <w:strike w:val="false"/>
          <w:vertAlign w:val="baseline"/>
          <w:rFonts w:ascii="Arial" w:hAnsi="Arial"/>
        </w:rPr>
        <w:t xml:space="preserve">10.7	</w:t>
      </w:r>
      <w:r>
        <w:rPr>
          <w:color w:val="#000000"/>
          <w:sz w:val="24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Duration of works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73</w:t>
      </w:r>
    </w:p>
    <w:p>
      <w:pPr>
        <w:ind w:right="0" w:left="360" w:firstLine="0"/>
        <w:spacing w:before="144" w:after="0" w:line="208" w:lineRule="auto"/>
        <w:jc w:val="left"/>
        <w:tabs>
          <w:tab w:val="left" w:leader="none" w:pos="1529"/>
          <w:tab w:val="right" w:leader="none" w:pos="9420"/>
        </w:tabs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16"/>
          <w:w w:val="100"/>
          <w:strike w:val="false"/>
          <w:vertAlign w:val="baseline"/>
          <w:rFonts w:ascii="Arial" w:hAnsi="Arial"/>
        </w:rPr>
        <w:t xml:space="preserve">10.8	</w:t>
      </w:r>
      <w:r>
        <w:rPr>
          <w:color w:val="#000000"/>
          <w:sz w:val="24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Notification timescales for actual start and works closed	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74</w:t>
      </w:r>
    </w:p>
    <w:p>
      <w:pPr>
        <w:sectPr>
          <w:pgSz w:w="11918" w:h="16854" w:orient="portrait"/>
          <w:type w:val="nextPage"/>
          <w:textDirection w:val="lrTb"/>
          <w:pgMar w:bottom="668" w:top="1736" w:right="1139" w:left="1199" w:header="720" w:footer="720"/>
          <w:titlePg w:val="false"/>
        </w:sectPr>
      </w:pPr>
    </w:p>
    <w:p>
      <w:pPr>
        <w:ind w:right="0" w:left="360" w:firstLine="0"/>
        <w:spacing w:before="0" w:after="0" w:line="240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2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0"/>
          <w:w w:val="105"/>
          <w:strike w:val="false"/>
          <w:vertAlign w:val="baseline"/>
          <w:rFonts w:ascii="Arial" w:hAnsi="Arial"/>
        </w:rPr>
        <w:t xml:space="preserve">10.9	</w:t>
      </w: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Formal warning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76</w:t>
      </w:r>
    </w:p>
    <w:p>
      <w:pPr>
        <w:ind w:right="0" w:left="360" w:firstLine="0"/>
        <w:spacing w:before="72" w:after="0" w:line="240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22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2"/>
          <w:w w:val="105"/>
          <w:strike w:val="false"/>
          <w:vertAlign w:val="baseline"/>
          <w:rFonts w:ascii="Arial" w:hAnsi="Arial"/>
        </w:rPr>
        <w:t xml:space="preserve">10.10	</w:t>
      </w: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Charging regime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76</w:t>
      </w:r>
    </w:p>
    <w:p>
      <w:pPr>
        <w:ind w:right="0" w:left="360" w:firstLine="0"/>
        <w:spacing w:before="108" w:after="0" w:line="240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34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34"/>
          <w:w w:val="105"/>
          <w:strike w:val="false"/>
          <w:vertAlign w:val="baseline"/>
          <w:rFonts w:ascii="Arial" w:hAnsi="Arial"/>
        </w:rPr>
        <w:t xml:space="preserve">10.11	</w:t>
      </w: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Mitigated charges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79</w:t>
      </w:r>
    </w:p>
    <w:p>
      <w:pPr>
        <w:ind w:right="0" w:left="360" w:firstLine="0"/>
        <w:spacing w:before="144" w:after="0" w:line="240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24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4"/>
          <w:w w:val="105"/>
          <w:strike w:val="false"/>
          <w:vertAlign w:val="baseline"/>
          <w:rFonts w:ascii="Arial" w:hAnsi="Arial"/>
        </w:rPr>
        <w:t xml:space="preserve">10.12	</w:t>
      </w: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Remedial works and subsequent phases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80</w:t>
      </w:r>
    </w:p>
    <w:p>
      <w:pPr>
        <w:ind w:right="0" w:left="360" w:firstLine="0"/>
        <w:spacing w:before="108" w:after="0" w:line="240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22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2"/>
          <w:w w:val="105"/>
          <w:strike w:val="false"/>
          <w:vertAlign w:val="baseline"/>
          <w:rFonts w:ascii="Arial" w:hAnsi="Arial"/>
        </w:rPr>
        <w:t xml:space="preserve">10.13	</w:t>
      </w: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Charging process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80</w:t>
      </w:r>
    </w:p>
    <w:p>
      <w:pPr>
        <w:ind w:right="0" w:left="72" w:firstLine="0"/>
        <w:spacing w:before="144" w:after="0" w:line="240" w:lineRule="auto"/>
        <w:jc w:val="left"/>
        <w:tabs>
          <w:tab w:val="right" w:leader="none" w:pos="9425"/>
        </w:tabs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Chapter 11 - Fixed penalty notices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82</w:t>
      </w:r>
    </w:p>
    <w:p>
      <w:pPr>
        <w:ind w:right="0" w:left="360" w:firstLine="0"/>
        <w:spacing w:before="144" w:after="0" w:line="206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11.1	</w:t>
      </w: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Introduction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82</w:t>
      </w:r>
    </w:p>
    <w:p>
      <w:pPr>
        <w:ind w:right="0" w:left="360" w:firstLine="0"/>
        <w:spacing w:before="144" w:after="0" w:line="240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22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2"/>
          <w:w w:val="105"/>
          <w:strike w:val="false"/>
          <w:vertAlign w:val="baseline"/>
          <w:rFonts w:ascii="Arial" w:hAnsi="Arial"/>
        </w:rPr>
        <w:t xml:space="preserve">11.2	</w:t>
      </w:r>
      <w:r>
        <w:rPr>
          <w:color w:val="#000000"/>
          <w:sz w:val="24"/>
          <w:lang w:val="en-US"/>
          <w:spacing w:val="-12"/>
          <w:w w:val="105"/>
          <w:strike w:val="false"/>
          <w:vertAlign w:val="baseline"/>
          <w:rFonts w:ascii="Arial" w:hAnsi="Arial"/>
        </w:rPr>
        <w:t xml:space="preserve">Fixed penalty offences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83</w:t>
      </w:r>
    </w:p>
    <w:p>
      <w:pPr>
        <w:ind w:right="0" w:left="360" w:firstLine="0"/>
        <w:spacing w:before="108" w:after="0" w:line="240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24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4"/>
          <w:w w:val="105"/>
          <w:strike w:val="false"/>
          <w:vertAlign w:val="baseline"/>
          <w:rFonts w:ascii="Arial" w:hAnsi="Arial"/>
        </w:rPr>
        <w:t xml:space="preserve">11.3	</w:t>
      </w: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Penalty charges and time periods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85</w:t>
      </w:r>
    </w:p>
    <w:p>
      <w:pPr>
        <w:ind w:right="0" w:left="360" w:firstLine="0"/>
        <w:spacing w:before="180" w:after="0" w:line="208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3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30"/>
          <w:w w:val="105"/>
          <w:strike w:val="false"/>
          <w:vertAlign w:val="baseline"/>
          <w:rFonts w:ascii="Arial" w:hAnsi="Arial"/>
        </w:rPr>
        <w:t xml:space="preserve">11.4	</w:t>
      </w: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Arial" w:hAnsi="Arial"/>
        </w:rPr>
        <w:t xml:space="preserve">Guidance for authorities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87</w:t>
      </w:r>
    </w:p>
    <w:p>
      <w:pPr>
        <w:ind w:right="0" w:left="360" w:firstLine="0"/>
        <w:spacing w:before="108" w:after="0" w:line="240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3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30"/>
          <w:w w:val="105"/>
          <w:strike w:val="false"/>
          <w:vertAlign w:val="baseline"/>
          <w:rFonts w:ascii="Arial" w:hAnsi="Arial"/>
        </w:rPr>
        <w:t xml:space="preserve">11.5	</w:t>
      </w: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Arial" w:hAnsi="Arial"/>
        </w:rPr>
        <w:t xml:space="preserve">Guidance for promoters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88</w:t>
      </w:r>
    </w:p>
    <w:p>
      <w:pPr>
        <w:ind w:right="0" w:left="360" w:firstLine="0"/>
        <w:spacing w:before="144" w:after="0" w:line="240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3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30"/>
          <w:w w:val="105"/>
          <w:strike w:val="false"/>
          <w:vertAlign w:val="baseline"/>
          <w:rFonts w:ascii="Arial" w:hAnsi="Arial"/>
        </w:rPr>
        <w:t xml:space="preserve">11.6	</w:t>
      </w: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Representations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88</w:t>
      </w:r>
    </w:p>
    <w:p>
      <w:pPr>
        <w:ind w:right="0" w:left="360" w:firstLine="0"/>
        <w:spacing w:before="108" w:after="0" w:line="240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3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30"/>
          <w:w w:val="105"/>
          <w:strike w:val="false"/>
          <w:vertAlign w:val="baseline"/>
          <w:rFonts w:ascii="Arial" w:hAnsi="Arial"/>
        </w:rPr>
        <w:t xml:space="preserve">11.7	</w:t>
      </w: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General guidance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89</w:t>
      </w:r>
    </w:p>
    <w:p>
      <w:pPr>
        <w:ind w:right="0" w:left="72" w:firstLine="0"/>
        <w:spacing w:before="144" w:after="0" w:line="240" w:lineRule="auto"/>
        <w:jc w:val="left"/>
        <w:tabs>
          <w:tab w:val="right" w:leader="none" w:pos="9425"/>
        </w:tabs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Arial" w:hAnsi="Arial"/>
        </w:rPr>
        <w:t xml:space="preserve">Chapter 12 - Related matters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90</w:t>
      </w:r>
    </w:p>
    <w:p>
      <w:pPr>
        <w:ind w:right="0" w:left="360" w:firstLine="0"/>
        <w:spacing w:before="144" w:after="0" w:line="206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12.1	</w:t>
      </w: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Introduction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90</w:t>
      </w:r>
    </w:p>
    <w:p>
      <w:pPr>
        <w:ind w:right="0" w:left="360" w:firstLine="0"/>
        <w:spacing w:before="180" w:after="0" w:line="208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3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30"/>
          <w:w w:val="105"/>
          <w:strike w:val="false"/>
          <w:vertAlign w:val="baseline"/>
          <w:rFonts w:ascii="Arial" w:hAnsi="Arial"/>
        </w:rPr>
        <w:t xml:space="preserve">12.2	</w:t>
      </w: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Road closures and traffic restrictions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90</w:t>
      </w:r>
    </w:p>
    <w:p>
      <w:pPr>
        <w:ind w:right="0" w:left="360" w:firstLine="0"/>
        <w:spacing w:before="108" w:after="0" w:line="240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26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6"/>
          <w:w w:val="105"/>
          <w:strike w:val="false"/>
          <w:vertAlign w:val="baseline"/>
          <w:rFonts w:ascii="Arial" w:hAnsi="Arial"/>
        </w:rPr>
        <w:t xml:space="preserve">12.3	</w:t>
      </w:r>
      <w:r>
        <w:rPr>
          <w:color w:val="#000000"/>
          <w:sz w:val="24"/>
          <w:lang w:val="en-US"/>
          <w:spacing w:val="-10"/>
          <w:w w:val="105"/>
          <w:strike w:val="false"/>
          <w:vertAlign w:val="baseline"/>
          <w:rFonts w:ascii="Arial" w:hAnsi="Arial"/>
        </w:rPr>
        <w:t xml:space="preserve">Duty to maintain apparatus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94</w:t>
      </w:r>
    </w:p>
    <w:p>
      <w:pPr>
        <w:ind w:right="0" w:left="360" w:firstLine="0"/>
        <w:spacing w:before="144" w:after="0" w:line="240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44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44"/>
          <w:w w:val="105"/>
          <w:strike w:val="false"/>
          <w:vertAlign w:val="baseline"/>
          <w:rFonts w:ascii="Arial" w:hAnsi="Arial"/>
        </w:rPr>
        <w:t xml:space="preserve">12.4	</w:t>
      </w: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Working near to rail tracks and tramways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97</w:t>
      </w:r>
    </w:p>
    <w:p>
      <w:pPr>
        <w:ind w:right="0" w:left="360" w:firstLine="0"/>
        <w:spacing w:before="108" w:after="0" w:line="240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26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6"/>
          <w:w w:val="105"/>
          <w:strike w:val="false"/>
          <w:vertAlign w:val="baseline"/>
          <w:rFonts w:ascii="Arial" w:hAnsi="Arial"/>
        </w:rPr>
        <w:t xml:space="preserve">12.5	</w:t>
      </w: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Vehicle parking at street and road works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97</w:t>
      </w:r>
    </w:p>
    <w:p>
      <w:pPr>
        <w:ind w:right="0" w:left="360" w:firstLine="0"/>
        <w:spacing w:before="108" w:after="0" w:line="240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24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4"/>
          <w:w w:val="105"/>
          <w:strike w:val="false"/>
          <w:vertAlign w:val="baseline"/>
          <w:rFonts w:ascii="Arial" w:hAnsi="Arial"/>
        </w:rPr>
        <w:t xml:space="preserve">12.6	</w:t>
      </w: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Traffic signals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98</w:t>
      </w:r>
    </w:p>
    <w:p>
      <w:pPr>
        <w:ind w:right="0" w:left="360" w:firstLine="0"/>
        <w:spacing w:before="144" w:after="0" w:line="240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22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2"/>
          <w:w w:val="105"/>
          <w:strike w:val="false"/>
          <w:vertAlign w:val="baseline"/>
          <w:rFonts w:ascii="Arial" w:hAnsi="Arial"/>
        </w:rPr>
        <w:t xml:space="preserve">12.7	</w:t>
      </w: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Storage of materials and other equipment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99</w:t>
      </w:r>
    </w:p>
    <w:p>
      <w:pPr>
        <w:ind w:right="0" w:left="360" w:firstLine="0"/>
        <w:spacing w:before="108" w:after="0" w:line="240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26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6"/>
          <w:w w:val="105"/>
          <w:strike w:val="false"/>
          <w:vertAlign w:val="baseline"/>
          <w:rFonts w:ascii="Arial" w:hAnsi="Arial"/>
        </w:rPr>
        <w:t xml:space="preserve">12.8	</w:t>
      </w: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Apparatus belonging to others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99</w:t>
      </w:r>
    </w:p>
    <w:p>
      <w:pPr>
        <w:ind w:right="0" w:left="72" w:firstLine="0"/>
        <w:spacing w:before="144" w:after="0" w:line="240" w:lineRule="auto"/>
        <w:jc w:val="left"/>
        <w:tabs>
          <w:tab w:val="right" w:leader="none" w:pos="9425"/>
        </w:tabs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Chapter 13 - Dispute resolution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100</w:t>
      </w:r>
    </w:p>
    <w:p>
      <w:pPr>
        <w:ind w:right="0" w:left="360" w:firstLine="0"/>
        <w:spacing w:before="144" w:after="0" w:line="204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13.1	</w:t>
      </w: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Introduction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100</w:t>
      </w:r>
    </w:p>
    <w:p>
      <w:pPr>
        <w:ind w:right="0" w:left="360" w:firstLine="0"/>
        <w:spacing w:before="144" w:after="0" w:line="240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28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8"/>
          <w:w w:val="105"/>
          <w:strike w:val="false"/>
          <w:vertAlign w:val="baseline"/>
          <w:rFonts w:ascii="Arial" w:hAnsi="Arial"/>
        </w:rPr>
        <w:t xml:space="preserve">13.2	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Arial" w:hAnsi="Arial"/>
        </w:rPr>
        <w:t xml:space="preserve">Dispute review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100</w:t>
      </w:r>
    </w:p>
    <w:p>
      <w:pPr>
        <w:ind w:right="0" w:left="360" w:firstLine="0"/>
        <w:spacing w:before="144" w:after="0" w:line="240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26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6"/>
          <w:w w:val="105"/>
          <w:strike w:val="false"/>
          <w:vertAlign w:val="baseline"/>
          <w:rFonts w:ascii="Arial" w:hAnsi="Arial"/>
        </w:rPr>
        <w:t xml:space="preserve">13.3	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Arial" w:hAnsi="Arial"/>
        </w:rPr>
        <w:t xml:space="preserve">Adjudication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101</w:t>
      </w:r>
    </w:p>
    <w:p>
      <w:pPr>
        <w:ind w:right="0" w:left="360" w:firstLine="0"/>
        <w:spacing w:before="144" w:after="0" w:line="206" w:lineRule="auto"/>
        <w:jc w:val="left"/>
        <w:tabs>
          <w:tab w:val="left" w:leader="none" w:pos="1549"/>
          <w:tab w:val="right" w:leader="none" w:pos="9425"/>
        </w:tabs>
        <w:rPr>
          <w:color w:val="#000000"/>
          <w:sz w:val="24"/>
          <w:lang w:val="en-US"/>
          <w:spacing w:val="-28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8"/>
          <w:w w:val="105"/>
          <w:strike w:val="false"/>
          <w:vertAlign w:val="baseline"/>
          <w:rFonts w:ascii="Arial" w:hAnsi="Arial"/>
        </w:rPr>
        <w:t xml:space="preserve">13.4	</w:t>
      </w:r>
      <w:r>
        <w:rPr>
          <w:color w:val="#000000"/>
          <w:sz w:val="24"/>
          <w:lang w:val="en-US"/>
          <w:spacing w:val="-4"/>
          <w:w w:val="105"/>
          <w:strike w:val="false"/>
          <w:vertAlign w:val="baseline"/>
          <w:rFonts w:ascii="Arial" w:hAnsi="Arial"/>
        </w:rPr>
        <w:t xml:space="preserve">Arbitration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101</w:t>
      </w:r>
    </w:p>
    <w:p>
      <w:pPr>
        <w:ind w:right="0" w:left="72" w:firstLine="0"/>
        <w:spacing w:before="144" w:after="0" w:line="240" w:lineRule="auto"/>
        <w:jc w:val="left"/>
        <w:tabs>
          <w:tab w:val="right" w:leader="none" w:pos="9425"/>
        </w:tabs>
        <w:rPr>
          <w:color w:val="#000000"/>
          <w:sz w:val="24"/>
          <w:lang w:val="en-US"/>
          <w:spacing w:val="-2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2"/>
          <w:w w:val="105"/>
          <w:strike w:val="false"/>
          <w:vertAlign w:val="baseline"/>
          <w:rFonts w:ascii="Arial" w:hAnsi="Arial"/>
        </w:rPr>
        <w:t xml:space="preserve">Appendices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102</w:t>
      </w:r>
    </w:p>
    <w:p>
      <w:pPr>
        <w:ind w:right="0" w:left="360" w:firstLine="0"/>
        <w:spacing w:before="108" w:after="0" w:line="240" w:lineRule="auto"/>
        <w:jc w:val="left"/>
        <w:tabs>
          <w:tab w:val="right" w:leader="none" w:pos="9425"/>
        </w:tabs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Appendix A: Glossary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103</w:t>
      </w:r>
    </w:p>
    <w:p>
      <w:pPr>
        <w:ind w:right="0" w:left="360" w:firstLine="0"/>
        <w:spacing w:before="144" w:after="0" w:line="240" w:lineRule="auto"/>
        <w:jc w:val="left"/>
        <w:tabs>
          <w:tab w:val="right" w:leader="none" w:pos="9425"/>
        </w:tabs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Appendix B: HAUC (England) permit guidance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109</w:t>
      </w:r>
    </w:p>
    <w:p>
      <w:pPr>
        <w:ind w:right="0" w:left="360" w:firstLine="0"/>
        <w:spacing w:before="108" w:after="0" w:line="240" w:lineRule="auto"/>
        <w:jc w:val="left"/>
        <w:tabs>
          <w:tab w:val="right" w:leader="none" w:pos="9425"/>
        </w:tabs>
        <w:rPr>
          <w:color w:val="#000000"/>
          <w:sz w:val="24"/>
          <w:lang w:val="en-US"/>
          <w:spacing w:val="-7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7"/>
          <w:w w:val="105"/>
          <w:strike w:val="false"/>
          <w:vertAlign w:val="baseline"/>
          <w:rFonts w:ascii="Arial" w:hAnsi="Arial"/>
        </w:rPr>
        <w:t xml:space="preserve">Appendix C: Works at or near level crossings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110</w:t>
      </w:r>
    </w:p>
    <w:p>
      <w:pPr>
        <w:ind w:right="0" w:left="360" w:firstLine="0"/>
        <w:spacing w:before="144" w:after="0" w:line="240" w:lineRule="auto"/>
        <w:jc w:val="left"/>
        <w:tabs>
          <w:tab w:val="right" w:leader="none" w:pos="9425"/>
        </w:tabs>
        <w:rPr>
          <w:color w:val="#000000"/>
          <w:sz w:val="24"/>
          <w:lang w:val="en-US"/>
          <w:spacing w:val="-7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7"/>
          <w:w w:val="105"/>
          <w:strike w:val="false"/>
          <w:vertAlign w:val="baseline"/>
          <w:rFonts w:ascii="Arial" w:hAnsi="Arial"/>
        </w:rPr>
        <w:t xml:space="preserve">Appendix D: Forward planning and co-ordination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111</w:t>
      </w:r>
    </w:p>
    <w:p>
      <w:pPr>
        <w:ind w:right="0" w:left="360" w:firstLine="0"/>
        <w:spacing w:before="108" w:after="0" w:line="240" w:lineRule="auto"/>
        <w:jc w:val="left"/>
        <w:tabs>
          <w:tab w:val="right" w:leader="none" w:pos="9425"/>
        </w:tabs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Appendix E: Collaboration framework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112</w:t>
      </w:r>
    </w:p>
    <w:p>
      <w:pPr>
        <w:ind w:right="0" w:left="360" w:firstLine="0"/>
        <w:spacing w:before="108" w:after="0" w:line="240" w:lineRule="auto"/>
        <w:jc w:val="left"/>
        <w:tabs>
          <w:tab w:val="right" w:leader="none" w:pos="9425"/>
        </w:tabs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4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Appendix F: Current list of special designations	</w:t>
      </w:r>
      <w:r>
        <w:rPr>
          <w:color w:val="#000000"/>
          <w:sz w:val="24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114</w:t>
      </w:r>
    </w:p>
    <w:sectPr>
      <w:pgSz w:w="11918" w:h="16854" w:orient="portrait"/>
      <w:type w:val="nextPage"/>
      <w:textDirection w:val="lrTb"/>
      <w:pgMar w:bottom="1308" w:top="1756" w:right="1139" w:left="119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2" /><Relationship Type="http://schemas.openxmlformats.org/officeDocument/2006/relationships/image" Target="/word/media/image2.png" Id="drId4" /><Relationship Type="http://schemas.openxmlformats.org/officeDocument/2006/relationships/hyperlink" Target="https://www.nationalarchives.gov.uk/doc/open-government-licence/version/3/" TargetMode="External" Id="drId5" /><Relationship Type="http://schemas.openxmlformats.org/officeDocument/2006/relationships/hyperlink" Target="http://www.nationalarchives.gov.uk/contact-us." TargetMode="External" Id="drId6" /><Relationship Type="http://schemas.openxmlformats.org/officeDocument/2006/relationships/hyperlink" Target="http://www.gov.uk/government/organisations/department-for-transport" TargetMode="External" Id="drId7" /><Relationship Type="http://schemas.openxmlformats.org/officeDocument/2006/relationships/hyperlink" Target="http://www.gov.uk/government/organisations/department-for-transport" TargetMode="External" Id="drId8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3" /></Relationships>
</file>