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gadoahruq7d" w:id="0"/>
      <w:bookmarkEnd w:id="0"/>
      <w:r w:rsidDel="00000000" w:rsidR="00000000" w:rsidRPr="00000000">
        <w:rPr>
          <w:rtl w:val="0"/>
        </w:rPr>
        <w:t xml:space="preserve">User needs</w:t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2.666666666667"/>
        <w:gridCol w:w="4652.666666666667"/>
        <w:gridCol w:w="4652.666666666667"/>
        <w:tblGridChange w:id="0">
          <w:tblGrid>
            <w:gridCol w:w="4652.666666666667"/>
            <w:gridCol w:w="4652.666666666667"/>
            <w:gridCol w:w="4652.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 that...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eight  year old boy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about where the countries of the world are and what the famous landmarks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improve on my geography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ten year old girl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 a cool game and score lots of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have a competition with my friends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nine year old girl who struggles to understand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the game to be really easy to figure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play the game and not get frustrated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who is colourblind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 able to interact with the app easily, and not need to rely on colours alone to navigate through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join in the fun too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person with dyslexia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would like any text on the page to be really clear and big enough to read.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join in the fun too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 that my child is learning something valuable, whilst playing on the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don’t feel guilty about not wanting to take them to the park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school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educational game that is free to use and I can share with my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They can learn about the geography of the world and have fun doing it.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