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64" w:lineRule="auto"/>
      </w:pPr>
    </w:p>
    <w:p>
      <w:pPr>
        <w:spacing w:after="80"/>
      </w:pPr>
      <w:r>
        <w:rPr>
          <w:rFonts w:ascii="Calibri" w:hAnsi="Calibri"/>
          <w:b/>
          <w:color w:val="000000"/>
          <w:sz w:val="48"/>
        </w:rPr>
        <w:t>TRL 7 Roadmap</w:t>
      </w:r>
    </w:p>
    <w:p>
      <w:pPr>
        <w:spacing w:after="280"/>
      </w:pPr>
      <w:r>
        <w:rPr>
          <w:rFonts w:ascii="Calibri" w:hAnsi="Calibri"/>
          <w:color w:val="5B6570"/>
          <w:sz w:val="28"/>
        </w:rPr>
        <w:t>NEVERFLAT Award and Wallet System</w:t>
      </w:r>
    </w:p>
    <w:tbl>
      <w:tblPr>
        <w:tblStyle w:val="TableGrid"/>
        <w:tblW w:type="dxa" w:w="9360"/>
        <w:tblLayout w:type="fixed"/>
        <w:tblLook w:firstColumn="1" w:firstRow="1" w:lastColumn="0" w:lastRow="0" w:noHBand="0" w:noVBand="1" w:val="04A0"/>
        <w:tblInd w:w="120" w:type="dxa"/>
      </w:tblPr>
      <w:tblGrid>
        <w:gridCol w:w="2088"/>
        <w:gridCol w:w="7272"/>
      </w:tblGrid>
      <w:tr>
        <w:tc>
          <w:tcPr>
            <w:tcW w:type="dxa" w:w="2088"/>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Field</w:t>
            </w:r>
          </w:p>
        </w:tc>
        <w:tc>
          <w:tcPr>
            <w:tcW w:type="dxa" w:w="7272"/>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Roadmap basis</w:t>
            </w:r>
          </w:p>
        </w:tc>
      </w:tr>
      <w:tr>
        <w:tc>
          <w:tcPr>
            <w:tcW w:type="dxa" w:w="2088"/>
            <w:tcMar>
              <w:top w:w="80" w:type="dxa"/>
              <w:start w:w="120" w:type="dxa"/>
              <w:bottom w:w="80" w:type="dxa"/>
              <w:end w:w="120" w:type="dxa"/>
            </w:tcMar>
            <w:vAlign w:val="center"/>
          </w:tcPr>
          <w:p>
            <w:pPr>
              <w:spacing w:before="0" w:after="0" w:line="259" w:lineRule="auto"/>
            </w:pPr>
            <w:r>
              <w:rPr>
                <w:rFonts w:ascii="Calibri" w:hAnsi="Calibri"/>
                <w:b w:val="0"/>
                <w:color w:val="1C232D"/>
                <w:sz w:val="18"/>
              </w:rPr>
              <w:t>Purpose</w:t>
            </w:r>
          </w:p>
        </w:tc>
        <w:tc>
          <w:tcPr>
            <w:tcW w:type="dxa" w:w="7272"/>
            <w:tcMar>
              <w:top w:w="80" w:type="dxa"/>
              <w:start w:w="120" w:type="dxa"/>
              <w:bottom w:w="80" w:type="dxa"/>
              <w:end w:w="120" w:type="dxa"/>
            </w:tcMar>
            <w:vAlign w:val="center"/>
          </w:tcPr>
          <w:p>
            <w:pPr>
              <w:spacing w:before="0" w:after="0" w:line="259" w:lineRule="auto"/>
            </w:pPr>
            <w:r>
              <w:rPr>
                <w:rFonts w:ascii="Calibri" w:hAnsi="Calibri"/>
                <w:b w:val="0"/>
                <w:color w:val="1C232D"/>
                <w:sz w:val="18"/>
              </w:rPr>
              <w:t>Prioritised roadmap from current TRL 6 prototype evidence toward a credible TRL 7 claim.</w:t>
            </w:r>
          </w:p>
        </w:tc>
      </w:tr>
      <w:tr>
        <w:tc>
          <w:tcPr>
            <w:tcW w:type="dxa" w:w="2088"/>
            <w:tcMar>
              <w:top w:w="80" w:type="dxa"/>
              <w:start w:w="120" w:type="dxa"/>
              <w:bottom w:w="80" w:type="dxa"/>
              <w:end w:w="120" w:type="dxa"/>
            </w:tcMar>
            <w:vAlign w:val="center"/>
          </w:tcPr>
          <w:p>
            <w:pPr>
              <w:spacing w:before="0" w:after="0" w:line="259" w:lineRule="auto"/>
            </w:pPr>
            <w:r>
              <w:rPr>
                <w:rFonts w:ascii="Calibri" w:hAnsi="Calibri"/>
                <w:b w:val="0"/>
                <w:color w:val="1C232D"/>
                <w:sz w:val="18"/>
              </w:rPr>
              <w:t>Current judgement</w:t>
            </w:r>
          </w:p>
        </w:tc>
        <w:tc>
          <w:tcPr>
            <w:tcW w:type="dxa" w:w="7272"/>
            <w:tcMar>
              <w:top w:w="80" w:type="dxa"/>
              <w:start w:w="120" w:type="dxa"/>
              <w:bottom w:w="80" w:type="dxa"/>
              <w:end w:w="120" w:type="dxa"/>
            </w:tcMar>
            <w:vAlign w:val="center"/>
          </w:tcPr>
          <w:p>
            <w:pPr>
              <w:spacing w:before="0" w:after="0" w:line="259" w:lineRule="auto"/>
            </w:pPr>
            <w:r>
              <w:rPr>
                <w:rFonts w:ascii="Calibri" w:hAnsi="Calibri"/>
                <w:b w:val="0"/>
                <w:color w:val="1C232D"/>
                <w:sz w:val="18"/>
              </w:rPr>
              <w:t>Estimated TRL 6. TRL 7 should be claimed only after pilot evidence, operational controls, and settlement proof are in place.</w:t>
            </w:r>
          </w:p>
        </w:tc>
      </w:tr>
      <w:tr>
        <w:tc>
          <w:tcPr>
            <w:tcW w:type="dxa" w:w="2088"/>
            <w:tcMar>
              <w:top w:w="80" w:type="dxa"/>
              <w:start w:w="120" w:type="dxa"/>
              <w:bottom w:w="80" w:type="dxa"/>
              <w:end w:w="120" w:type="dxa"/>
            </w:tcMar>
            <w:vAlign w:val="center"/>
          </w:tcPr>
          <w:p>
            <w:pPr>
              <w:spacing w:before="0" w:after="0" w:line="259" w:lineRule="auto"/>
            </w:pPr>
            <w:r>
              <w:rPr>
                <w:rFonts w:ascii="Calibri" w:hAnsi="Calibri"/>
                <w:b w:val="0"/>
                <w:color w:val="1C232D"/>
                <w:sz w:val="18"/>
              </w:rPr>
              <w:t>Prepared date</w:t>
            </w:r>
          </w:p>
        </w:tc>
        <w:tc>
          <w:tcPr>
            <w:tcW w:type="dxa" w:w="7272"/>
            <w:tcMar>
              <w:top w:w="80" w:type="dxa"/>
              <w:start w:w="120" w:type="dxa"/>
              <w:bottom w:w="80" w:type="dxa"/>
              <w:end w:w="120" w:type="dxa"/>
            </w:tcMar>
            <w:vAlign w:val="center"/>
          </w:tcPr>
          <w:p>
            <w:pPr>
              <w:spacing w:before="0" w:after="0" w:line="259" w:lineRule="auto"/>
            </w:pPr>
            <w:r>
              <w:rPr>
                <w:rFonts w:ascii="Calibri" w:hAnsi="Calibri"/>
                <w:b w:val="0"/>
                <w:color w:val="1C232D"/>
                <w:sz w:val="18"/>
              </w:rPr>
              <w:t>6 July 2026</w:t>
            </w:r>
          </w:p>
        </w:tc>
      </w:tr>
      <w:tr>
        <w:tc>
          <w:tcPr>
            <w:tcW w:type="dxa" w:w="2088"/>
            <w:tcMar>
              <w:top w:w="80" w:type="dxa"/>
              <w:start w:w="120" w:type="dxa"/>
              <w:bottom w:w="80" w:type="dxa"/>
              <w:end w:w="120" w:type="dxa"/>
            </w:tcMar>
            <w:vAlign w:val="center"/>
          </w:tcPr>
          <w:p>
            <w:pPr>
              <w:spacing w:before="0" w:after="0" w:line="259" w:lineRule="auto"/>
            </w:pPr>
            <w:r>
              <w:rPr>
                <w:rFonts w:ascii="Calibri" w:hAnsi="Calibri"/>
                <w:b w:val="0"/>
                <w:color w:val="1C232D"/>
                <w:sz w:val="18"/>
              </w:rPr>
              <w:t>Roadmap stance</w:t>
            </w:r>
          </w:p>
        </w:tc>
        <w:tc>
          <w:tcPr>
            <w:tcW w:type="dxa" w:w="7272"/>
            <w:tcMar>
              <w:top w:w="80" w:type="dxa"/>
              <w:start w:w="120" w:type="dxa"/>
              <w:bottom w:w="80" w:type="dxa"/>
              <w:end w:w="120" w:type="dxa"/>
            </w:tcMar>
            <w:vAlign w:val="center"/>
          </w:tcPr>
          <w:p>
            <w:pPr>
              <w:spacing w:before="0" w:after="0" w:line="259" w:lineRule="auto"/>
            </w:pPr>
            <w:r>
              <w:rPr>
                <w:rFonts w:ascii="Calibri" w:hAnsi="Calibri"/>
                <w:b w:val="0"/>
                <w:color w:val="1C232D"/>
                <w:sz w:val="18"/>
              </w:rPr>
              <w:t>Start with stable work owned by NEVERFLAT: signed spend receipts, auditability, pilot access controls, transaction states, and evidence capture.</w:t>
            </w:r>
          </w:p>
        </w:tc>
      </w:tr>
    </w:tbl>
    <w:p>
      <w:pPr>
        <w:spacing w:before="0" w:after="120" w:line="264" w:lineRule="auto"/>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4F6F9"/>
            <w:tcMar>
              <w:top w:w="140" w:type="dxa"/>
              <w:start w:w="180" w:type="dxa"/>
              <w:bottom w:w="140" w:type="dxa"/>
              <w:end w:w="180" w:type="dxa"/>
            </w:tcMar>
          </w:tcPr>
          <w:p>
            <w:pPr>
              <w:spacing w:after="40"/>
            </w:pPr>
            <w:r>
              <w:rPr>
                <w:rFonts w:ascii="Calibri" w:hAnsi="Calibri"/>
                <w:b/>
                <w:color w:val="1F4D78"/>
                <w:sz w:val="21"/>
              </w:rPr>
              <w:t>Executive recommendation</w:t>
            </w:r>
          </w:p>
          <w:p>
            <w:pPr>
              <w:spacing w:after="0"/>
            </w:pPr>
            <w:r>
              <w:rPr>
                <w:rFonts w:ascii="Calibri" w:hAnsi="Calibri"/>
                <w:color w:val="1C232D"/>
                <w:sz w:val="21"/>
              </w:rPr>
              <w:t>Do not start by rebuilding the AU ingestion path while that integration shape may still change. Start with spend receipts, audit logs, pilot access controls, and durable transaction states. Those foundations are needed regardless of how CDR ingestion finally lands.</w:t>
            </w:r>
          </w:p>
        </w:tc>
      </w:tr>
    </w:tbl>
    <w:p>
      <w:pPr>
        <w:spacing w:before="0" w:after="80" w:line="264" w:lineRule="auto"/>
      </w:pPr>
    </w:p>
    <w:p>
      <w:pPr>
        <w:pStyle w:val="Heading1"/>
        <w:spacing w:before="320" w:after="160"/>
      </w:pPr>
      <w:r>
        <w:t>1. Roadmap Principles</w:t>
      </w:r>
    </w:p>
    <w:tbl>
      <w:tblPr>
        <w:tblStyle w:val="TableGrid"/>
        <w:tblW w:type="dxa" w:w="9360"/>
        <w:tblLayout w:type="fixed"/>
        <w:tblLook w:firstColumn="1" w:firstRow="1" w:lastColumn="0" w:lastRow="0" w:noHBand="0" w:noVBand="1" w:val="04A0"/>
        <w:tblInd w:w="120" w:type="dxa"/>
      </w:tblPr>
      <w:tblGrid>
        <w:gridCol w:w="2736"/>
        <w:gridCol w:w="6623"/>
      </w:tblGrid>
      <w:tr>
        <w:tc>
          <w:tcPr>
            <w:tcW w:type="dxa" w:w="2736"/>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Principle</w:t>
            </w:r>
          </w:p>
        </w:tc>
        <w:tc>
          <w:tcPr>
            <w:tcW w:type="dxa" w:w="6623"/>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Meaning for this programme</w:t>
            </w:r>
          </w:p>
        </w:tc>
      </w:tr>
      <w:tr>
        <w:tc>
          <w:tcPr>
            <w:tcW w:type="dxa" w:w="2736"/>
            <w:tcMar>
              <w:top w:w="80" w:type="dxa"/>
              <w:start w:w="120" w:type="dxa"/>
              <w:bottom w:w="80" w:type="dxa"/>
              <w:end w:w="120" w:type="dxa"/>
            </w:tcMar>
            <w:vAlign w:val="center"/>
          </w:tcPr>
          <w:p>
            <w:pPr>
              <w:spacing w:before="0" w:after="0" w:line="259" w:lineRule="auto"/>
            </w:pPr>
            <w:r>
              <w:rPr>
                <w:rFonts w:ascii="Calibri" w:hAnsi="Calibri"/>
                <w:b w:val="0"/>
                <w:color w:val="1C232D"/>
                <w:sz w:val="18"/>
              </w:rPr>
              <w:t>Evidence before claims</w:t>
            </w:r>
          </w:p>
        </w:tc>
        <w:tc>
          <w:tcPr>
            <w:tcW w:type="dxa" w:w="6623"/>
            <w:tcMar>
              <w:top w:w="80" w:type="dxa"/>
              <w:start w:w="120" w:type="dxa"/>
              <w:bottom w:w="80" w:type="dxa"/>
              <w:end w:w="120" w:type="dxa"/>
            </w:tcMar>
            <w:vAlign w:val="center"/>
          </w:tcPr>
          <w:p>
            <w:pPr>
              <w:spacing w:before="0" w:after="0" w:line="259" w:lineRule="auto"/>
            </w:pPr>
            <w:r>
              <w:rPr>
                <w:rFonts w:ascii="Calibri" w:hAnsi="Calibri"/>
                <w:b w:val="0"/>
                <w:color w:val="1C232D"/>
                <w:sz w:val="18"/>
              </w:rPr>
              <w:t>TRL 7 requires proof from an operational or pilot-like environment, not just code paths and local tests.</w:t>
            </w:r>
          </w:p>
        </w:tc>
      </w:tr>
      <w:tr>
        <w:tc>
          <w:tcPr>
            <w:tcW w:type="dxa" w:w="2736"/>
            <w:tcMar>
              <w:top w:w="80" w:type="dxa"/>
              <w:start w:w="120" w:type="dxa"/>
              <w:bottom w:w="80" w:type="dxa"/>
              <w:end w:w="120" w:type="dxa"/>
            </w:tcMar>
            <w:vAlign w:val="center"/>
          </w:tcPr>
          <w:p>
            <w:pPr>
              <w:spacing w:before="0" w:after="0" w:line="259" w:lineRule="auto"/>
            </w:pPr>
            <w:r>
              <w:rPr>
                <w:rFonts w:ascii="Calibri" w:hAnsi="Calibri"/>
                <w:b w:val="0"/>
                <w:color w:val="1C232D"/>
                <w:sz w:val="18"/>
              </w:rPr>
              <w:t>Stable foundations first</w:t>
            </w:r>
          </w:p>
        </w:tc>
        <w:tc>
          <w:tcPr>
            <w:tcW w:type="dxa" w:w="6623"/>
            <w:tcMar>
              <w:top w:w="80" w:type="dxa"/>
              <w:start w:w="120" w:type="dxa"/>
              <w:bottom w:w="80" w:type="dxa"/>
              <w:end w:w="120" w:type="dxa"/>
            </w:tcMar>
            <w:vAlign w:val="center"/>
          </w:tcPr>
          <w:p>
            <w:pPr>
              <w:spacing w:before="0" w:after="0" w:line="259" w:lineRule="auto"/>
            </w:pPr>
            <w:r>
              <w:rPr>
                <w:rFonts w:ascii="Calibri" w:hAnsi="Calibri"/>
                <w:b w:val="0"/>
                <w:color w:val="1C232D"/>
                <w:sz w:val="18"/>
              </w:rPr>
              <w:t>Build features that remain valid even if AU ingestion changes: receipts, audit logs, access controls, state tracking, monitoring, and tests.</w:t>
            </w:r>
          </w:p>
        </w:tc>
      </w:tr>
      <w:tr>
        <w:tc>
          <w:tcPr>
            <w:tcW w:type="dxa" w:w="2736"/>
            <w:tcMar>
              <w:top w:w="80" w:type="dxa"/>
              <w:start w:w="120" w:type="dxa"/>
              <w:bottom w:w="80" w:type="dxa"/>
              <w:end w:w="120" w:type="dxa"/>
            </w:tcMar>
            <w:vAlign w:val="center"/>
          </w:tcPr>
          <w:p>
            <w:pPr>
              <w:spacing w:before="0" w:after="0" w:line="259" w:lineRule="auto"/>
            </w:pPr>
            <w:r>
              <w:rPr>
                <w:rFonts w:ascii="Calibri" w:hAnsi="Calibri"/>
                <w:b w:val="0"/>
                <w:color w:val="1C232D"/>
                <w:sz w:val="18"/>
              </w:rPr>
              <w:t>External integration by boundary</w:t>
            </w:r>
          </w:p>
        </w:tc>
        <w:tc>
          <w:tcPr>
            <w:tcW w:type="dxa" w:w="6623"/>
            <w:tcMar>
              <w:top w:w="80" w:type="dxa"/>
              <w:start w:w="120" w:type="dxa"/>
              <w:bottom w:w="80" w:type="dxa"/>
              <w:end w:w="120" w:type="dxa"/>
            </w:tcMar>
            <w:vAlign w:val="center"/>
          </w:tcPr>
          <w:p>
            <w:pPr>
              <w:spacing w:before="0" w:after="0" w:line="259" w:lineRule="auto"/>
            </w:pPr>
            <w:r>
              <w:rPr>
                <w:rFonts w:ascii="Calibri" w:hAnsi="Calibri"/>
                <w:b w:val="0"/>
                <w:color w:val="1C232D"/>
                <w:sz w:val="18"/>
              </w:rPr>
              <w:t>If AU owns the webhook and calls the NEVERFLAT API, the evidence task is to prove that boundary, not to duplicate AU code.</w:t>
            </w:r>
          </w:p>
        </w:tc>
      </w:tr>
      <w:tr>
        <w:tc>
          <w:tcPr>
            <w:tcW w:type="dxa" w:w="2736"/>
            <w:tcMar>
              <w:top w:w="80" w:type="dxa"/>
              <w:start w:w="120" w:type="dxa"/>
              <w:bottom w:w="80" w:type="dxa"/>
              <w:end w:w="120" w:type="dxa"/>
            </w:tcMar>
            <w:vAlign w:val="center"/>
          </w:tcPr>
          <w:p>
            <w:pPr>
              <w:spacing w:before="0" w:after="0" w:line="259" w:lineRule="auto"/>
            </w:pPr>
            <w:r>
              <w:rPr>
                <w:rFonts w:ascii="Calibri" w:hAnsi="Calibri"/>
                <w:b w:val="0"/>
                <w:color w:val="1C232D"/>
                <w:sz w:val="18"/>
              </w:rPr>
              <w:t>Settlement must be verifiable</w:t>
            </w:r>
          </w:p>
        </w:tc>
        <w:tc>
          <w:tcPr>
            <w:tcW w:type="dxa" w:w="6623"/>
            <w:tcMar>
              <w:top w:w="80" w:type="dxa"/>
              <w:start w:w="120" w:type="dxa"/>
              <w:bottom w:w="80" w:type="dxa"/>
              <w:end w:w="120" w:type="dxa"/>
            </w:tcMar>
            <w:vAlign w:val="center"/>
          </w:tcPr>
          <w:p>
            <w:pPr>
              <w:spacing w:before="0" w:after="0" w:line="259" w:lineRule="auto"/>
            </w:pPr>
            <w:r>
              <w:rPr>
                <w:rFonts w:ascii="Calibri" w:hAnsi="Calibri"/>
                <w:b w:val="0"/>
                <w:color w:val="1C232D"/>
                <w:sz w:val="18"/>
              </w:rPr>
              <w:t>A token spend should create a durable signed receipt that the frontend owner, EMP, or settlement service can verify and audit.</w:t>
            </w:r>
          </w:p>
        </w:tc>
      </w:tr>
    </w:tbl>
    <w:p>
      <w:pPr>
        <w:spacing w:before="0" w:after="120" w:line="264" w:lineRule="auto"/>
      </w:pPr>
    </w:p>
    <w:p>
      <w:pPr>
        <w:pStyle w:val="Heading1"/>
        <w:spacing w:before="320" w:after="160"/>
      </w:pPr>
      <w:r>
        <w:t>2. Phased Plan</w:t>
      </w:r>
    </w:p>
    <w:tbl>
      <w:tblPr>
        <w:tblStyle w:val="TableGrid"/>
        <w:tblW w:type="dxa" w:w="9360"/>
        <w:tblLayout w:type="fixed"/>
        <w:tblLook w:firstColumn="1" w:firstRow="1" w:lastColumn="0" w:lastRow="0" w:noHBand="0" w:noVBand="1" w:val="04A0"/>
        <w:tblInd w:w="120" w:type="dxa"/>
      </w:tblPr>
      <w:tblGrid>
        <w:gridCol w:w="1123"/>
        <w:gridCol w:w="1800"/>
        <w:gridCol w:w="3628"/>
        <w:gridCol w:w="2808"/>
      </w:tblGrid>
      <w:tr>
        <w:tc>
          <w:tcPr>
            <w:tcW w:type="dxa" w:w="1123"/>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Phase</w:t>
            </w:r>
          </w:p>
        </w:tc>
        <w:tc>
          <w:tcPr>
            <w:tcW w:type="dxa" w:w="1800"/>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Focus</w:t>
            </w:r>
          </w:p>
        </w:tc>
        <w:tc>
          <w:tcPr>
            <w:tcW w:type="dxa" w:w="3628"/>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Main outputs</w:t>
            </w:r>
          </w:p>
        </w:tc>
        <w:tc>
          <w:tcPr>
            <w:tcW w:type="dxa" w:w="2808"/>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TRL 7 contribution</w:t>
            </w:r>
          </w:p>
        </w:tc>
      </w:tr>
      <w:tr>
        <w:tc>
          <w:tcPr>
            <w:tcW w:type="dxa" w:w="1123"/>
            <w:tcMar>
              <w:top w:w="80" w:type="dxa"/>
              <w:start w:w="120" w:type="dxa"/>
              <w:bottom w:w="80" w:type="dxa"/>
              <w:end w:w="120" w:type="dxa"/>
            </w:tcMar>
            <w:vAlign w:val="center"/>
          </w:tcPr>
          <w:p>
            <w:pPr>
              <w:spacing w:before="0" w:after="0" w:line="259" w:lineRule="auto"/>
            </w:pPr>
            <w:r>
              <w:rPr>
                <w:rFonts w:ascii="Calibri" w:hAnsi="Calibri"/>
                <w:b w:val="0"/>
                <w:color w:val="1C232D"/>
                <w:sz w:val="18"/>
              </w:rPr>
              <w:t>Phase 0</w:t>
            </w:r>
          </w:p>
        </w:tc>
        <w:tc>
          <w:tcPr>
            <w:tcW w:type="dxa" w:w="1800"/>
            <w:tcMar>
              <w:top w:w="80" w:type="dxa"/>
              <w:start w:w="120" w:type="dxa"/>
              <w:bottom w:w="80" w:type="dxa"/>
              <w:end w:w="120" w:type="dxa"/>
            </w:tcMar>
            <w:vAlign w:val="center"/>
          </w:tcPr>
          <w:p>
            <w:pPr>
              <w:spacing w:before="0" w:after="0" w:line="259" w:lineRule="auto"/>
            </w:pPr>
            <w:r>
              <w:rPr>
                <w:rFonts w:ascii="Calibri" w:hAnsi="Calibri"/>
                <w:b w:val="0"/>
                <w:color w:val="1C232D"/>
                <w:sz w:val="18"/>
              </w:rPr>
              <w:t>Freeze scope and evidence assumptions</w:t>
            </w:r>
          </w:p>
        </w:tc>
        <w:tc>
          <w:tcPr>
            <w:tcW w:type="dxa" w:w="3628"/>
            <w:tcMar>
              <w:top w:w="80" w:type="dxa"/>
              <w:start w:w="120" w:type="dxa"/>
              <w:bottom w:w="80" w:type="dxa"/>
              <w:end w:w="120" w:type="dxa"/>
            </w:tcMar>
            <w:vAlign w:val="center"/>
          </w:tcPr>
          <w:p>
            <w:pPr>
              <w:spacing w:before="0" w:after="0" w:line="259" w:lineRule="auto"/>
            </w:pPr>
            <w:r>
              <w:rPr>
                <w:rFonts w:ascii="Calibri" w:hAnsi="Calibri"/>
                <w:b w:val="0"/>
                <w:color w:val="1C232D"/>
                <w:sz w:val="18"/>
              </w:rPr>
              <w:t>Confirm deferred AU evidence; confirm receipt receiver; confirm pilot environment boundaries.</w:t>
            </w:r>
          </w:p>
        </w:tc>
        <w:tc>
          <w:tcPr>
            <w:tcW w:type="dxa" w:w="2808"/>
            <w:tcMar>
              <w:top w:w="80" w:type="dxa"/>
              <w:start w:w="120" w:type="dxa"/>
              <w:bottom w:w="80" w:type="dxa"/>
              <w:end w:w="120" w:type="dxa"/>
            </w:tcMar>
            <w:vAlign w:val="center"/>
          </w:tcPr>
          <w:p>
            <w:pPr>
              <w:spacing w:before="0" w:after="0" w:line="259" w:lineRule="auto"/>
            </w:pPr>
            <w:r>
              <w:rPr>
                <w:rFonts w:ascii="Calibri" w:hAnsi="Calibri"/>
                <w:b w:val="0"/>
                <w:color w:val="1C232D"/>
                <w:sz w:val="18"/>
              </w:rPr>
              <w:t>Prevents documenting or building against a moving ingestion design.</w:t>
            </w:r>
          </w:p>
        </w:tc>
      </w:tr>
      <w:tr>
        <w:tc>
          <w:tcPr>
            <w:tcW w:type="dxa" w:w="1123"/>
            <w:tcMar>
              <w:top w:w="80" w:type="dxa"/>
              <w:start w:w="120" w:type="dxa"/>
              <w:bottom w:w="80" w:type="dxa"/>
              <w:end w:w="120" w:type="dxa"/>
            </w:tcMar>
            <w:vAlign w:val="center"/>
          </w:tcPr>
          <w:p>
            <w:pPr>
              <w:spacing w:before="0" w:after="0" w:line="259" w:lineRule="auto"/>
            </w:pPr>
            <w:r>
              <w:rPr>
                <w:rFonts w:ascii="Calibri" w:hAnsi="Calibri"/>
                <w:b w:val="0"/>
                <w:color w:val="1C232D"/>
                <w:sz w:val="18"/>
              </w:rPr>
              <w:t>Phase 1</w:t>
            </w:r>
          </w:p>
        </w:tc>
        <w:tc>
          <w:tcPr>
            <w:tcW w:type="dxa" w:w="1800"/>
            <w:tcMar>
              <w:top w:w="80" w:type="dxa"/>
              <w:start w:w="120" w:type="dxa"/>
              <w:bottom w:w="80" w:type="dxa"/>
              <w:end w:w="120" w:type="dxa"/>
            </w:tcMar>
            <w:vAlign w:val="center"/>
          </w:tcPr>
          <w:p>
            <w:pPr>
              <w:spacing w:before="0" w:after="0" w:line="259" w:lineRule="auto"/>
            </w:pPr>
            <w:r>
              <w:rPr>
                <w:rFonts w:ascii="Calibri" w:hAnsi="Calibri"/>
                <w:b w:val="0"/>
                <w:color w:val="1C232D"/>
                <w:sz w:val="18"/>
              </w:rPr>
              <w:t>Signed spend receipts</w:t>
            </w:r>
          </w:p>
        </w:tc>
        <w:tc>
          <w:tcPr>
            <w:tcW w:type="dxa" w:w="3628"/>
            <w:tcMar>
              <w:top w:w="80" w:type="dxa"/>
              <w:start w:w="120" w:type="dxa"/>
              <w:bottom w:w="80" w:type="dxa"/>
              <w:end w:w="120" w:type="dxa"/>
            </w:tcMar>
            <w:vAlign w:val="center"/>
          </w:tcPr>
          <w:p>
            <w:pPr>
              <w:spacing w:before="0" w:after="0" w:line="259" w:lineRule="auto"/>
            </w:pPr>
            <w:r>
              <w:rPr>
                <w:rFonts w:ascii="Calibri" w:hAnsi="Calibri"/>
                <w:b w:val="0"/>
                <w:color w:val="1C232D"/>
                <w:sz w:val="18"/>
              </w:rPr>
              <w:t>Receipt schema, signature, verification endpoint or helper, DB storage, API response, replay protection.</w:t>
            </w:r>
          </w:p>
        </w:tc>
        <w:tc>
          <w:tcPr>
            <w:tcW w:type="dxa" w:w="2808"/>
            <w:tcMar>
              <w:top w:w="80" w:type="dxa"/>
              <w:start w:w="120" w:type="dxa"/>
              <w:bottom w:w="80" w:type="dxa"/>
              <w:end w:w="120" w:type="dxa"/>
            </w:tcMar>
            <w:vAlign w:val="center"/>
          </w:tcPr>
          <w:p>
            <w:pPr>
              <w:spacing w:before="0" w:after="0" w:line="259" w:lineRule="auto"/>
            </w:pPr>
            <w:r>
              <w:rPr>
                <w:rFonts w:ascii="Calibri" w:hAnsi="Calibri"/>
                <w:b w:val="0"/>
                <w:color w:val="1C232D"/>
                <w:sz w:val="18"/>
              </w:rPr>
              <w:t>Connects token spend to discount settlement proof.</w:t>
            </w:r>
          </w:p>
        </w:tc>
      </w:tr>
      <w:tr>
        <w:tc>
          <w:tcPr>
            <w:tcW w:type="dxa" w:w="1123"/>
            <w:tcMar>
              <w:top w:w="80" w:type="dxa"/>
              <w:start w:w="120" w:type="dxa"/>
              <w:bottom w:w="80" w:type="dxa"/>
              <w:end w:w="120" w:type="dxa"/>
            </w:tcMar>
            <w:vAlign w:val="center"/>
          </w:tcPr>
          <w:p>
            <w:pPr>
              <w:spacing w:before="0" w:after="0" w:line="259" w:lineRule="auto"/>
            </w:pPr>
            <w:r>
              <w:rPr>
                <w:rFonts w:ascii="Calibri" w:hAnsi="Calibri"/>
                <w:b w:val="0"/>
                <w:color w:val="1C232D"/>
                <w:sz w:val="18"/>
              </w:rPr>
              <w:t>Phase 2</w:t>
            </w:r>
          </w:p>
        </w:tc>
        <w:tc>
          <w:tcPr>
            <w:tcW w:type="dxa" w:w="1800"/>
            <w:tcMar>
              <w:top w:w="80" w:type="dxa"/>
              <w:start w:w="120" w:type="dxa"/>
              <w:bottom w:w="80" w:type="dxa"/>
              <w:end w:w="120" w:type="dxa"/>
            </w:tcMar>
            <w:vAlign w:val="center"/>
          </w:tcPr>
          <w:p>
            <w:pPr>
              <w:spacing w:before="0" w:after="0" w:line="259" w:lineRule="auto"/>
            </w:pPr>
            <w:r>
              <w:rPr>
                <w:rFonts w:ascii="Calibri" w:hAnsi="Calibri"/>
                <w:b w:val="0"/>
                <w:color w:val="1C232D"/>
                <w:sz w:val="18"/>
              </w:rPr>
              <w:t>Auditability</w:t>
            </w:r>
          </w:p>
        </w:tc>
        <w:tc>
          <w:tcPr>
            <w:tcW w:type="dxa" w:w="3628"/>
            <w:tcMar>
              <w:top w:w="80" w:type="dxa"/>
              <w:start w:w="120" w:type="dxa"/>
              <w:bottom w:w="80" w:type="dxa"/>
              <w:end w:w="120" w:type="dxa"/>
            </w:tcMar>
            <w:vAlign w:val="center"/>
          </w:tcPr>
          <w:p>
            <w:pPr>
              <w:spacing w:before="0" w:after="0" w:line="259" w:lineRule="auto"/>
            </w:pPr>
            <w:r>
              <w:rPr>
                <w:rFonts w:ascii="Calibri" w:hAnsi="Calibri"/>
                <w:b w:val="0"/>
                <w:color w:val="1C232D"/>
                <w:sz w:val="18"/>
              </w:rPr>
              <w:t>Append-only audit table for spend receipts, admin changes, wallet mode changes, awards, spends, failures.</w:t>
            </w:r>
          </w:p>
        </w:tc>
        <w:tc>
          <w:tcPr>
            <w:tcW w:type="dxa" w:w="2808"/>
            <w:tcMar>
              <w:top w:w="80" w:type="dxa"/>
              <w:start w:w="120" w:type="dxa"/>
              <w:bottom w:w="80" w:type="dxa"/>
              <w:end w:w="120" w:type="dxa"/>
            </w:tcMar>
            <w:vAlign w:val="center"/>
          </w:tcPr>
          <w:p>
            <w:pPr>
              <w:spacing w:before="0" w:after="0" w:line="259" w:lineRule="auto"/>
            </w:pPr>
            <w:r>
              <w:rPr>
                <w:rFonts w:ascii="Calibri" w:hAnsi="Calibri"/>
                <w:b w:val="0"/>
                <w:color w:val="1C232D"/>
                <w:sz w:val="18"/>
              </w:rPr>
              <w:t>Shows traceability for reviewer and operational support.</w:t>
            </w:r>
          </w:p>
        </w:tc>
      </w:tr>
      <w:tr>
        <w:tc>
          <w:tcPr>
            <w:tcW w:type="dxa" w:w="1123"/>
            <w:tcMar>
              <w:top w:w="80" w:type="dxa"/>
              <w:start w:w="120" w:type="dxa"/>
              <w:bottom w:w="80" w:type="dxa"/>
              <w:end w:w="120" w:type="dxa"/>
            </w:tcMar>
            <w:vAlign w:val="center"/>
          </w:tcPr>
          <w:p>
            <w:pPr>
              <w:spacing w:before="0" w:after="0" w:line="259" w:lineRule="auto"/>
            </w:pPr>
            <w:r>
              <w:rPr>
                <w:rFonts w:ascii="Calibri" w:hAnsi="Calibri"/>
                <w:b w:val="0"/>
                <w:color w:val="1C232D"/>
                <w:sz w:val="18"/>
              </w:rPr>
              <w:t>Phase 3</w:t>
            </w:r>
          </w:p>
        </w:tc>
        <w:tc>
          <w:tcPr>
            <w:tcW w:type="dxa" w:w="1800"/>
            <w:tcMar>
              <w:top w:w="80" w:type="dxa"/>
              <w:start w:w="120" w:type="dxa"/>
              <w:bottom w:w="80" w:type="dxa"/>
              <w:end w:w="120" w:type="dxa"/>
            </w:tcMar>
            <w:vAlign w:val="center"/>
          </w:tcPr>
          <w:p>
            <w:pPr>
              <w:spacing w:before="0" w:after="0" w:line="259" w:lineRule="auto"/>
            </w:pPr>
            <w:r>
              <w:rPr>
                <w:rFonts w:ascii="Calibri" w:hAnsi="Calibri"/>
                <w:b w:val="0"/>
                <w:color w:val="1C232D"/>
                <w:sz w:val="18"/>
              </w:rPr>
              <w:t>Pilot access controls</w:t>
            </w:r>
          </w:p>
        </w:tc>
        <w:tc>
          <w:tcPr>
            <w:tcW w:type="dxa" w:w="3628"/>
            <w:tcMar>
              <w:top w:w="80" w:type="dxa"/>
              <w:start w:w="120" w:type="dxa"/>
              <w:bottom w:w="80" w:type="dxa"/>
              <w:end w:w="120" w:type="dxa"/>
            </w:tcMar>
            <w:vAlign w:val="center"/>
          </w:tcPr>
          <w:p>
            <w:pPr>
              <w:spacing w:before="0" w:after="0" w:line="259" w:lineRule="auto"/>
            </w:pPr>
            <w:r>
              <w:rPr>
                <w:rFonts w:ascii="Calibri" w:hAnsi="Calibri"/>
                <w:b w:val="0"/>
                <w:color w:val="1C232D"/>
                <w:sz w:val="18"/>
              </w:rPr>
              <w:t>No default admin credentials; scoped AU credential; manual test routes disabled in pilot; actor logging.</w:t>
            </w:r>
          </w:p>
        </w:tc>
        <w:tc>
          <w:tcPr>
            <w:tcW w:type="dxa" w:w="2808"/>
            <w:tcMar>
              <w:top w:w="80" w:type="dxa"/>
              <w:start w:w="120" w:type="dxa"/>
              <w:bottom w:w="80" w:type="dxa"/>
              <w:end w:w="120" w:type="dxa"/>
            </w:tcMar>
            <w:vAlign w:val="center"/>
          </w:tcPr>
          <w:p>
            <w:pPr>
              <w:spacing w:before="0" w:after="0" w:line="259" w:lineRule="auto"/>
            </w:pPr>
            <w:r>
              <w:rPr>
                <w:rFonts w:ascii="Calibri" w:hAnsi="Calibri"/>
                <w:b w:val="0"/>
                <w:color w:val="1C232D"/>
                <w:sz w:val="18"/>
              </w:rPr>
              <w:t>Makes the pilot credible and reduces avoidable security criticism.</w:t>
            </w:r>
          </w:p>
        </w:tc>
      </w:tr>
      <w:tr>
        <w:tc>
          <w:tcPr>
            <w:tcW w:type="dxa" w:w="1123"/>
            <w:tcMar>
              <w:top w:w="80" w:type="dxa"/>
              <w:start w:w="120" w:type="dxa"/>
              <w:bottom w:w="80" w:type="dxa"/>
              <w:end w:w="120" w:type="dxa"/>
            </w:tcMar>
            <w:vAlign w:val="center"/>
          </w:tcPr>
          <w:p>
            <w:pPr>
              <w:spacing w:before="0" w:after="0" w:line="259" w:lineRule="auto"/>
            </w:pPr>
            <w:r>
              <w:rPr>
                <w:rFonts w:ascii="Calibri" w:hAnsi="Calibri"/>
                <w:b w:val="0"/>
                <w:color w:val="1C232D"/>
                <w:sz w:val="18"/>
              </w:rPr>
              <w:t>Phase 4</w:t>
            </w:r>
          </w:p>
        </w:tc>
        <w:tc>
          <w:tcPr>
            <w:tcW w:type="dxa" w:w="1800"/>
            <w:tcMar>
              <w:top w:w="80" w:type="dxa"/>
              <w:start w:w="120" w:type="dxa"/>
              <w:bottom w:w="80" w:type="dxa"/>
              <w:end w:w="120" w:type="dxa"/>
            </w:tcMar>
            <w:vAlign w:val="center"/>
          </w:tcPr>
          <w:p>
            <w:pPr>
              <w:spacing w:before="0" w:after="0" w:line="259" w:lineRule="auto"/>
            </w:pPr>
            <w:r>
              <w:rPr>
                <w:rFonts w:ascii="Calibri" w:hAnsi="Calibri"/>
                <w:b w:val="0"/>
                <w:color w:val="1C232D"/>
                <w:sz w:val="18"/>
              </w:rPr>
              <w:t>Durable states and recovery</w:t>
            </w:r>
          </w:p>
        </w:tc>
        <w:tc>
          <w:tcPr>
            <w:tcW w:type="dxa" w:w="3628"/>
            <w:tcMar>
              <w:top w:w="80" w:type="dxa"/>
              <w:start w:w="120" w:type="dxa"/>
              <w:bottom w:w="80" w:type="dxa"/>
              <w:end w:w="120" w:type="dxa"/>
            </w:tcMar>
            <w:vAlign w:val="center"/>
          </w:tcPr>
          <w:p>
            <w:pPr>
              <w:spacing w:before="0" w:after="0" w:line="259" w:lineRule="auto"/>
            </w:pPr>
            <w:r>
              <w:rPr>
                <w:rFonts w:ascii="Calibri" w:hAnsi="Calibri"/>
                <w:b w:val="0"/>
                <w:color w:val="1C232D"/>
                <w:sz w:val="18"/>
              </w:rPr>
              <w:t>Award/spend/receipt statuses, retry-required flags, confirmation states, failed-chain handling.</w:t>
            </w:r>
          </w:p>
        </w:tc>
        <w:tc>
          <w:tcPr>
            <w:tcW w:type="dxa" w:w="2808"/>
            <w:tcMar>
              <w:top w:w="80" w:type="dxa"/>
              <w:start w:w="120" w:type="dxa"/>
              <w:bottom w:w="80" w:type="dxa"/>
              <w:end w:w="120" w:type="dxa"/>
            </w:tcMar>
            <w:vAlign w:val="center"/>
          </w:tcPr>
          <w:p>
            <w:pPr>
              <w:spacing w:before="0" w:after="0" w:line="259" w:lineRule="auto"/>
            </w:pPr>
            <w:r>
              <w:rPr>
                <w:rFonts w:ascii="Calibri" w:hAnsi="Calibri"/>
                <w:b w:val="0"/>
                <w:color w:val="1C232D"/>
                <w:sz w:val="18"/>
              </w:rPr>
              <w:t>Turns the system from demo flow into an operated service.</w:t>
            </w:r>
          </w:p>
        </w:tc>
      </w:tr>
      <w:tr>
        <w:tc>
          <w:tcPr>
            <w:tcW w:type="dxa" w:w="1123"/>
            <w:tcMar>
              <w:top w:w="80" w:type="dxa"/>
              <w:start w:w="120" w:type="dxa"/>
              <w:bottom w:w="80" w:type="dxa"/>
              <w:end w:w="120" w:type="dxa"/>
            </w:tcMar>
            <w:vAlign w:val="center"/>
          </w:tcPr>
          <w:p>
            <w:pPr>
              <w:spacing w:before="0" w:after="0" w:line="259" w:lineRule="auto"/>
            </w:pPr>
            <w:r>
              <w:rPr>
                <w:rFonts w:ascii="Calibri" w:hAnsi="Calibri"/>
                <w:b w:val="0"/>
                <w:color w:val="1C232D"/>
                <w:sz w:val="18"/>
              </w:rPr>
              <w:t>Phase 5</w:t>
            </w:r>
          </w:p>
        </w:tc>
        <w:tc>
          <w:tcPr>
            <w:tcW w:type="dxa" w:w="1800"/>
            <w:tcMar>
              <w:top w:w="80" w:type="dxa"/>
              <w:start w:w="120" w:type="dxa"/>
              <w:bottom w:w="80" w:type="dxa"/>
              <w:end w:w="120" w:type="dxa"/>
            </w:tcMar>
            <w:vAlign w:val="center"/>
          </w:tcPr>
          <w:p>
            <w:pPr>
              <w:spacing w:before="0" w:after="0" w:line="259" w:lineRule="auto"/>
            </w:pPr>
            <w:r>
              <w:rPr>
                <w:rFonts w:ascii="Calibri" w:hAnsi="Calibri"/>
                <w:b w:val="0"/>
                <w:color w:val="1C232D"/>
                <w:sz w:val="18"/>
              </w:rPr>
              <w:t>Reconciliation and monitoring</w:t>
            </w:r>
          </w:p>
        </w:tc>
        <w:tc>
          <w:tcPr>
            <w:tcW w:type="dxa" w:w="3628"/>
            <w:tcMar>
              <w:top w:w="80" w:type="dxa"/>
              <w:start w:w="120" w:type="dxa"/>
              <w:bottom w:w="80" w:type="dxa"/>
              <w:end w:w="120" w:type="dxa"/>
            </w:tcMar>
            <w:vAlign w:val="center"/>
          </w:tcPr>
          <w:p>
            <w:pPr>
              <w:spacing w:before="0" w:after="0" w:line="259" w:lineRule="auto"/>
            </w:pPr>
            <w:r>
              <w:rPr>
                <w:rFonts w:ascii="Calibri" w:hAnsi="Calibri"/>
                <w:b w:val="0"/>
                <w:color w:val="1C232D"/>
                <w:sz w:val="18"/>
              </w:rPr>
              <w:t>DB-vs-chain reconciliation job, health metrics, alerts, dashboards, transaction failure visibility.</w:t>
            </w:r>
          </w:p>
        </w:tc>
        <w:tc>
          <w:tcPr>
            <w:tcW w:type="dxa" w:w="2808"/>
            <w:tcMar>
              <w:top w:w="80" w:type="dxa"/>
              <w:start w:w="120" w:type="dxa"/>
              <w:bottom w:w="80" w:type="dxa"/>
              <w:end w:w="120" w:type="dxa"/>
            </w:tcMar>
            <w:vAlign w:val="center"/>
          </w:tcPr>
          <w:p>
            <w:pPr>
              <w:spacing w:before="0" w:after="0" w:line="259" w:lineRule="auto"/>
            </w:pPr>
            <w:r>
              <w:rPr>
                <w:rFonts w:ascii="Calibri" w:hAnsi="Calibri"/>
                <w:b w:val="0"/>
                <w:color w:val="1C232D"/>
                <w:sz w:val="18"/>
              </w:rPr>
              <w:t>Supplies operational evidence for reliability.</w:t>
            </w:r>
          </w:p>
        </w:tc>
      </w:tr>
      <w:tr>
        <w:tc>
          <w:tcPr>
            <w:tcW w:type="dxa" w:w="1123"/>
            <w:tcMar>
              <w:top w:w="80" w:type="dxa"/>
              <w:start w:w="120" w:type="dxa"/>
              <w:bottom w:w="80" w:type="dxa"/>
              <w:end w:w="120" w:type="dxa"/>
            </w:tcMar>
            <w:vAlign w:val="center"/>
          </w:tcPr>
          <w:p>
            <w:pPr>
              <w:spacing w:before="0" w:after="0" w:line="259" w:lineRule="auto"/>
            </w:pPr>
            <w:r>
              <w:rPr>
                <w:rFonts w:ascii="Calibri" w:hAnsi="Calibri"/>
                <w:b w:val="0"/>
                <w:color w:val="1C232D"/>
                <w:sz w:val="18"/>
              </w:rPr>
              <w:t>Phase 6</w:t>
            </w:r>
          </w:p>
        </w:tc>
        <w:tc>
          <w:tcPr>
            <w:tcW w:type="dxa" w:w="1800"/>
            <w:tcMar>
              <w:top w:w="80" w:type="dxa"/>
              <w:start w:w="120" w:type="dxa"/>
              <w:bottom w:w="80" w:type="dxa"/>
              <w:end w:w="120" w:type="dxa"/>
            </w:tcMar>
            <w:vAlign w:val="center"/>
          </w:tcPr>
          <w:p>
            <w:pPr>
              <w:spacing w:before="0" w:after="0" w:line="259" w:lineRule="auto"/>
            </w:pPr>
            <w:r>
              <w:rPr>
                <w:rFonts w:ascii="Calibri" w:hAnsi="Calibri"/>
                <w:b w:val="0"/>
                <w:color w:val="1C232D"/>
                <w:sz w:val="18"/>
              </w:rPr>
              <w:t>Evidence pack and hardening</w:t>
            </w:r>
          </w:p>
        </w:tc>
        <w:tc>
          <w:tcPr>
            <w:tcW w:type="dxa" w:w="3628"/>
            <w:tcMar>
              <w:top w:w="80" w:type="dxa"/>
              <w:start w:w="120" w:type="dxa"/>
              <w:bottom w:w="80" w:type="dxa"/>
              <w:end w:w="120" w:type="dxa"/>
            </w:tcMar>
            <w:vAlign w:val="center"/>
          </w:tcPr>
          <w:p>
            <w:pPr>
              <w:spacing w:before="0" w:after="0" w:line="259" w:lineRule="auto"/>
            </w:pPr>
            <w:r>
              <w:rPr>
                <w:rFonts w:ascii="Calibri" w:hAnsi="Calibri"/>
                <w:b w:val="0"/>
                <w:color w:val="1C232D"/>
                <w:sz w:val="18"/>
              </w:rPr>
              <w:t>E2E tests, load/security tests, deployment runbook, smart contract artifacts, pilot screenshots/logs.</w:t>
            </w:r>
          </w:p>
        </w:tc>
        <w:tc>
          <w:tcPr>
            <w:tcW w:type="dxa" w:w="2808"/>
            <w:tcMar>
              <w:top w:w="80" w:type="dxa"/>
              <w:start w:w="120" w:type="dxa"/>
              <w:bottom w:w="80" w:type="dxa"/>
              <w:end w:w="120" w:type="dxa"/>
            </w:tcMar>
            <w:vAlign w:val="center"/>
          </w:tcPr>
          <w:p>
            <w:pPr>
              <w:spacing w:before="0" w:after="0" w:line="259" w:lineRule="auto"/>
            </w:pPr>
            <w:r>
              <w:rPr>
                <w:rFonts w:ascii="Calibri" w:hAnsi="Calibri"/>
                <w:b w:val="0"/>
                <w:color w:val="1C232D"/>
                <w:sz w:val="18"/>
              </w:rPr>
              <w:t>Packages the claim for Horizon reporting.</w:t>
            </w:r>
          </w:p>
        </w:tc>
      </w:tr>
    </w:tbl>
    <w:p>
      <w:pPr>
        <w:spacing w:before="0" w:after="120" w:line="264" w:lineRule="auto"/>
      </w:pPr>
    </w:p>
    <w:p>
      <w:pPr>
        <w:pStyle w:val="Heading1"/>
        <w:spacing w:before="320" w:after="160"/>
      </w:pPr>
      <w:r>
        <w:t>3. Sprint 1: Start Here</w:t>
      </w:r>
    </w:p>
    <w:tbl>
      <w:tblPr>
        <w:tblStyle w:val="TableGrid"/>
        <w:tblW w:type="dxa" w:w="9360"/>
        <w:tblLayout w:type="fixed"/>
        <w:tblLook w:firstColumn="1" w:firstRow="1" w:lastColumn="0" w:lastRow="0" w:noHBand="0" w:noVBand="1" w:val="04A0"/>
        <w:tblInd w:w="120" w:type="dxa"/>
      </w:tblPr>
      <w:tblGrid>
        <w:gridCol w:w="1007"/>
        <w:gridCol w:w="3024"/>
        <w:gridCol w:w="3671"/>
        <w:gridCol w:w="1655"/>
      </w:tblGrid>
      <w:tr>
        <w:tc>
          <w:tcPr>
            <w:tcW w:type="dxa" w:w="1007"/>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Priority</w:t>
            </w:r>
          </w:p>
        </w:tc>
        <w:tc>
          <w:tcPr>
            <w:tcW w:type="dxa" w:w="3024"/>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Task</w:t>
            </w:r>
          </w:p>
        </w:tc>
        <w:tc>
          <w:tcPr>
            <w:tcW w:type="dxa" w:w="3671"/>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Acceptance check</w:t>
            </w:r>
          </w:p>
        </w:tc>
        <w:tc>
          <w:tcPr>
            <w:tcW w:type="dxa" w:w="1655"/>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Owner dependency</w:t>
            </w:r>
          </w:p>
        </w:tc>
      </w:tr>
      <w:tr>
        <w:tc>
          <w:tcPr>
            <w:tcW w:type="dxa" w:w="1007"/>
            <w:tcMar>
              <w:top w:w="80" w:type="dxa"/>
              <w:start w:w="120" w:type="dxa"/>
              <w:bottom w:w="80" w:type="dxa"/>
              <w:end w:w="120" w:type="dxa"/>
            </w:tcMar>
            <w:vAlign w:val="center"/>
          </w:tcPr>
          <w:p>
            <w:pPr>
              <w:spacing w:before="0" w:after="0" w:line="259" w:lineRule="auto"/>
            </w:pPr>
            <w:r>
              <w:rPr>
                <w:rFonts w:ascii="Calibri" w:hAnsi="Calibri"/>
                <w:b w:val="0"/>
                <w:color w:val="1C232D"/>
                <w:sz w:val="18"/>
              </w:rPr>
              <w:t>1</w:t>
            </w:r>
          </w:p>
        </w:tc>
        <w:tc>
          <w:tcPr>
            <w:tcW w:type="dxa" w:w="3024"/>
            <w:tcMar>
              <w:top w:w="80" w:type="dxa"/>
              <w:start w:w="120" w:type="dxa"/>
              <w:bottom w:w="80" w:type="dxa"/>
              <w:end w:w="120" w:type="dxa"/>
            </w:tcMar>
            <w:vAlign w:val="center"/>
          </w:tcPr>
          <w:p>
            <w:pPr>
              <w:spacing w:before="0" w:after="0" w:line="259" w:lineRule="auto"/>
            </w:pPr>
            <w:r>
              <w:rPr>
                <w:rFonts w:ascii="Calibri" w:hAnsi="Calibri"/>
                <w:b w:val="0"/>
                <w:color w:val="1C232D"/>
                <w:sz w:val="18"/>
              </w:rPr>
              <w:t>Define the spend receipt data model and signature format.</w:t>
            </w:r>
          </w:p>
        </w:tc>
        <w:tc>
          <w:tcPr>
            <w:tcW w:type="dxa" w:w="3671"/>
            <w:tcMar>
              <w:top w:w="80" w:type="dxa"/>
              <w:start w:w="120" w:type="dxa"/>
              <w:bottom w:w="80" w:type="dxa"/>
              <w:end w:w="120" w:type="dxa"/>
            </w:tcMar>
            <w:vAlign w:val="center"/>
          </w:tcPr>
          <w:p>
            <w:pPr>
              <w:spacing w:before="0" w:after="0" w:line="259" w:lineRule="auto"/>
            </w:pPr>
            <w:r>
              <w:rPr>
                <w:rFonts w:ascii="Calibri" w:hAnsi="Calibri"/>
                <w:b w:val="0"/>
                <w:color w:val="1C232D"/>
                <w:sz w:val="18"/>
              </w:rPr>
              <w:t>Receipt includes ID, contract ID, wallet address, amount, session/provider IDs, chain ID, token contract, tx hash, status, timestamp, and backend signature.</w:t>
            </w:r>
          </w:p>
        </w:tc>
        <w:tc>
          <w:tcPr>
            <w:tcW w:type="dxa" w:w="1655"/>
            <w:tcMar>
              <w:top w:w="80" w:type="dxa"/>
              <w:start w:w="120" w:type="dxa"/>
              <w:bottom w:w="80" w:type="dxa"/>
              <w:end w:w="120" w:type="dxa"/>
            </w:tcMar>
            <w:vAlign w:val="center"/>
          </w:tcPr>
          <w:p>
            <w:pPr>
              <w:spacing w:before="0" w:after="0" w:line="259" w:lineRule="auto"/>
            </w:pPr>
            <w:r>
              <w:rPr>
                <w:rFonts w:ascii="Calibri" w:hAnsi="Calibri"/>
                <w:b w:val="0"/>
                <w:color w:val="1C232D"/>
                <w:sz w:val="18"/>
              </w:rPr>
              <w:t>NEVERFLAT-owned.</w:t>
            </w:r>
          </w:p>
        </w:tc>
      </w:tr>
      <w:tr>
        <w:tc>
          <w:tcPr>
            <w:tcW w:type="dxa" w:w="1007"/>
            <w:tcMar>
              <w:top w:w="80" w:type="dxa"/>
              <w:start w:w="120" w:type="dxa"/>
              <w:bottom w:w="80" w:type="dxa"/>
              <w:end w:w="120" w:type="dxa"/>
            </w:tcMar>
            <w:vAlign w:val="center"/>
          </w:tcPr>
          <w:p>
            <w:pPr>
              <w:spacing w:before="0" w:after="0" w:line="259" w:lineRule="auto"/>
            </w:pPr>
            <w:r>
              <w:rPr>
                <w:rFonts w:ascii="Calibri" w:hAnsi="Calibri"/>
                <w:b w:val="0"/>
                <w:color w:val="1C232D"/>
                <w:sz w:val="18"/>
              </w:rPr>
              <w:t>2</w:t>
            </w:r>
          </w:p>
        </w:tc>
        <w:tc>
          <w:tcPr>
            <w:tcW w:type="dxa" w:w="3024"/>
            <w:tcMar>
              <w:top w:w="80" w:type="dxa"/>
              <w:start w:w="120" w:type="dxa"/>
              <w:bottom w:w="80" w:type="dxa"/>
              <w:end w:w="120" w:type="dxa"/>
            </w:tcMar>
            <w:vAlign w:val="center"/>
          </w:tcPr>
          <w:p>
            <w:pPr>
              <w:spacing w:before="0" w:after="0" w:line="259" w:lineRule="auto"/>
            </w:pPr>
            <w:r>
              <w:rPr>
                <w:rFonts w:ascii="Calibri" w:hAnsi="Calibri"/>
                <w:b w:val="0"/>
                <w:color w:val="1C232D"/>
                <w:sz w:val="18"/>
              </w:rPr>
              <w:t>Create receipt persistence.</w:t>
            </w:r>
          </w:p>
        </w:tc>
        <w:tc>
          <w:tcPr>
            <w:tcW w:type="dxa" w:w="3671"/>
            <w:tcMar>
              <w:top w:w="80" w:type="dxa"/>
              <w:start w:w="120" w:type="dxa"/>
              <w:bottom w:w="80" w:type="dxa"/>
              <w:end w:w="120" w:type="dxa"/>
            </w:tcMar>
            <w:vAlign w:val="center"/>
          </w:tcPr>
          <w:p>
            <w:pPr>
              <w:spacing w:before="0" w:after="0" w:line="259" w:lineRule="auto"/>
            </w:pPr>
            <w:r>
              <w:rPr>
                <w:rFonts w:ascii="Calibri" w:hAnsi="Calibri"/>
                <w:b w:val="0"/>
                <w:color w:val="1C232D"/>
                <w:sz w:val="18"/>
              </w:rPr>
              <w:t>Database table stores receipt payload, signature, status, linked spend tx, creation time, update time, and idempotency key.</w:t>
            </w:r>
          </w:p>
        </w:tc>
        <w:tc>
          <w:tcPr>
            <w:tcW w:type="dxa" w:w="1655"/>
            <w:tcMar>
              <w:top w:w="80" w:type="dxa"/>
              <w:start w:w="120" w:type="dxa"/>
              <w:bottom w:w="80" w:type="dxa"/>
              <w:end w:w="120" w:type="dxa"/>
            </w:tcMar>
            <w:vAlign w:val="center"/>
          </w:tcPr>
          <w:p>
            <w:pPr>
              <w:spacing w:before="0" w:after="0" w:line="259" w:lineRule="auto"/>
            </w:pPr>
            <w:r>
              <w:rPr>
                <w:rFonts w:ascii="Calibri" w:hAnsi="Calibri"/>
                <w:b w:val="0"/>
                <w:color w:val="1C232D"/>
                <w:sz w:val="18"/>
              </w:rPr>
              <w:t>NEVERFLAT-owned.</w:t>
            </w:r>
          </w:p>
        </w:tc>
      </w:tr>
      <w:tr>
        <w:tc>
          <w:tcPr>
            <w:tcW w:type="dxa" w:w="1007"/>
            <w:tcMar>
              <w:top w:w="80" w:type="dxa"/>
              <w:start w:w="120" w:type="dxa"/>
              <w:bottom w:w="80" w:type="dxa"/>
              <w:end w:w="120" w:type="dxa"/>
            </w:tcMar>
            <w:vAlign w:val="center"/>
          </w:tcPr>
          <w:p>
            <w:pPr>
              <w:spacing w:before="0" w:after="0" w:line="259" w:lineRule="auto"/>
            </w:pPr>
            <w:r>
              <w:rPr>
                <w:rFonts w:ascii="Calibri" w:hAnsi="Calibri"/>
                <w:b w:val="0"/>
                <w:color w:val="1C232D"/>
                <w:sz w:val="18"/>
              </w:rPr>
              <w:t>3</w:t>
            </w:r>
          </w:p>
        </w:tc>
        <w:tc>
          <w:tcPr>
            <w:tcW w:type="dxa" w:w="3024"/>
            <w:tcMar>
              <w:top w:w="80" w:type="dxa"/>
              <w:start w:w="120" w:type="dxa"/>
              <w:bottom w:w="80" w:type="dxa"/>
              <w:end w:w="120" w:type="dxa"/>
            </w:tcMar>
            <w:vAlign w:val="center"/>
          </w:tcPr>
          <w:p>
            <w:pPr>
              <w:spacing w:before="0" w:after="0" w:line="259" w:lineRule="auto"/>
            </w:pPr>
            <w:r>
              <w:rPr>
                <w:rFonts w:ascii="Calibri" w:hAnsi="Calibri"/>
                <w:b w:val="0"/>
                <w:color w:val="1C232D"/>
                <w:sz w:val="18"/>
              </w:rPr>
              <w:t>Return receipt from spend API.</w:t>
            </w:r>
          </w:p>
        </w:tc>
        <w:tc>
          <w:tcPr>
            <w:tcW w:type="dxa" w:w="3671"/>
            <w:tcMar>
              <w:top w:w="80" w:type="dxa"/>
              <w:start w:w="120" w:type="dxa"/>
              <w:bottom w:w="80" w:type="dxa"/>
              <w:end w:w="120" w:type="dxa"/>
            </w:tcMar>
            <w:vAlign w:val="center"/>
          </w:tcPr>
          <w:p>
            <w:pPr>
              <w:spacing w:before="0" w:after="0" w:line="259" w:lineRule="auto"/>
            </w:pPr>
            <w:r>
              <w:rPr>
                <w:rFonts w:ascii="Calibri" w:hAnsi="Calibri"/>
                <w:b w:val="0"/>
                <w:color w:val="1C232D"/>
                <w:sz w:val="18"/>
              </w:rPr>
              <w:t>`/spend` and `/spend/me` return the signed receipt after successful token movement or reserved spend, depending on selected lifecycle.</w:t>
            </w:r>
          </w:p>
        </w:tc>
        <w:tc>
          <w:tcPr>
            <w:tcW w:type="dxa" w:w="1655"/>
            <w:tcMar>
              <w:top w:w="80" w:type="dxa"/>
              <w:start w:w="120" w:type="dxa"/>
              <w:bottom w:w="80" w:type="dxa"/>
              <w:end w:w="120" w:type="dxa"/>
            </w:tcMar>
            <w:vAlign w:val="center"/>
          </w:tcPr>
          <w:p>
            <w:pPr>
              <w:spacing w:before="0" w:after="0" w:line="259" w:lineRule="auto"/>
            </w:pPr>
            <w:r>
              <w:rPr>
                <w:rFonts w:ascii="Calibri" w:hAnsi="Calibri"/>
                <w:b w:val="0"/>
                <w:color w:val="1C232D"/>
                <w:sz w:val="18"/>
              </w:rPr>
              <w:t>NEVERFLAT-owned.</w:t>
            </w:r>
          </w:p>
        </w:tc>
      </w:tr>
      <w:tr>
        <w:tc>
          <w:tcPr>
            <w:tcW w:type="dxa" w:w="1007"/>
            <w:tcMar>
              <w:top w:w="80" w:type="dxa"/>
              <w:start w:w="120" w:type="dxa"/>
              <w:bottom w:w="80" w:type="dxa"/>
              <w:end w:w="120" w:type="dxa"/>
            </w:tcMar>
            <w:vAlign w:val="center"/>
          </w:tcPr>
          <w:p>
            <w:pPr>
              <w:spacing w:before="0" w:after="0" w:line="259" w:lineRule="auto"/>
            </w:pPr>
            <w:r>
              <w:rPr>
                <w:rFonts w:ascii="Calibri" w:hAnsi="Calibri"/>
                <w:b w:val="0"/>
                <w:color w:val="1C232D"/>
                <w:sz w:val="18"/>
              </w:rPr>
              <w:t>4</w:t>
            </w:r>
          </w:p>
        </w:tc>
        <w:tc>
          <w:tcPr>
            <w:tcW w:type="dxa" w:w="3024"/>
            <w:tcMar>
              <w:top w:w="80" w:type="dxa"/>
              <w:start w:w="120" w:type="dxa"/>
              <w:bottom w:w="80" w:type="dxa"/>
              <w:end w:w="120" w:type="dxa"/>
            </w:tcMar>
            <w:vAlign w:val="center"/>
          </w:tcPr>
          <w:p>
            <w:pPr>
              <w:spacing w:before="0" w:after="0" w:line="259" w:lineRule="auto"/>
            </w:pPr>
            <w:r>
              <w:rPr>
                <w:rFonts w:ascii="Calibri" w:hAnsi="Calibri"/>
                <w:b w:val="0"/>
                <w:color w:val="1C232D"/>
                <w:sz w:val="18"/>
              </w:rPr>
              <w:t>Add verification logic.</w:t>
            </w:r>
          </w:p>
        </w:tc>
        <w:tc>
          <w:tcPr>
            <w:tcW w:type="dxa" w:w="3671"/>
            <w:tcMar>
              <w:top w:w="80" w:type="dxa"/>
              <w:start w:w="120" w:type="dxa"/>
              <w:bottom w:w="80" w:type="dxa"/>
              <w:end w:w="120" w:type="dxa"/>
            </w:tcMar>
            <w:vAlign w:val="center"/>
          </w:tcPr>
          <w:p>
            <w:pPr>
              <w:spacing w:before="0" w:after="0" w:line="259" w:lineRule="auto"/>
            </w:pPr>
            <w:r>
              <w:rPr>
                <w:rFonts w:ascii="Calibri" w:hAnsi="Calibri"/>
                <w:b w:val="0"/>
                <w:color w:val="1C232D"/>
                <w:sz w:val="18"/>
              </w:rPr>
              <w:t>A receiver can verify the signature and reject changed, replayed, expired, or mismatched receipts.</w:t>
            </w:r>
          </w:p>
        </w:tc>
        <w:tc>
          <w:tcPr>
            <w:tcW w:type="dxa" w:w="1655"/>
            <w:tcMar>
              <w:top w:w="80" w:type="dxa"/>
              <w:start w:w="120" w:type="dxa"/>
              <w:bottom w:w="80" w:type="dxa"/>
              <w:end w:w="120" w:type="dxa"/>
            </w:tcMar>
            <w:vAlign w:val="center"/>
          </w:tcPr>
          <w:p>
            <w:pPr>
              <w:spacing w:before="0" w:after="0" w:line="259" w:lineRule="auto"/>
            </w:pPr>
            <w:r>
              <w:rPr>
                <w:rFonts w:ascii="Calibri" w:hAnsi="Calibri"/>
                <w:b w:val="0"/>
                <w:color w:val="1C232D"/>
                <w:sz w:val="18"/>
              </w:rPr>
              <w:t>Receiver integration can follow later.</w:t>
            </w:r>
          </w:p>
        </w:tc>
      </w:tr>
      <w:tr>
        <w:tc>
          <w:tcPr>
            <w:tcW w:type="dxa" w:w="1007"/>
            <w:tcMar>
              <w:top w:w="80" w:type="dxa"/>
              <w:start w:w="120" w:type="dxa"/>
              <w:bottom w:w="80" w:type="dxa"/>
              <w:end w:w="120" w:type="dxa"/>
            </w:tcMar>
            <w:vAlign w:val="center"/>
          </w:tcPr>
          <w:p>
            <w:pPr>
              <w:spacing w:before="0" w:after="0" w:line="259" w:lineRule="auto"/>
            </w:pPr>
            <w:r>
              <w:rPr>
                <w:rFonts w:ascii="Calibri" w:hAnsi="Calibri"/>
                <w:b w:val="0"/>
                <w:color w:val="1C232D"/>
                <w:sz w:val="18"/>
              </w:rPr>
              <w:t>5</w:t>
            </w:r>
          </w:p>
        </w:tc>
        <w:tc>
          <w:tcPr>
            <w:tcW w:type="dxa" w:w="3024"/>
            <w:tcMar>
              <w:top w:w="80" w:type="dxa"/>
              <w:start w:w="120" w:type="dxa"/>
              <w:bottom w:w="80" w:type="dxa"/>
              <w:end w:w="120" w:type="dxa"/>
            </w:tcMar>
            <w:vAlign w:val="center"/>
          </w:tcPr>
          <w:p>
            <w:pPr>
              <w:spacing w:before="0" w:after="0" w:line="259" w:lineRule="auto"/>
            </w:pPr>
            <w:r>
              <w:rPr>
                <w:rFonts w:ascii="Calibri" w:hAnsi="Calibri"/>
                <w:b w:val="0"/>
                <w:color w:val="1C232D"/>
                <w:sz w:val="18"/>
              </w:rPr>
              <w:t>Add receipt tests.</w:t>
            </w:r>
          </w:p>
        </w:tc>
        <w:tc>
          <w:tcPr>
            <w:tcW w:type="dxa" w:w="3671"/>
            <w:tcMar>
              <w:top w:w="80" w:type="dxa"/>
              <w:start w:w="120" w:type="dxa"/>
              <w:bottom w:w="80" w:type="dxa"/>
              <w:end w:w="120" w:type="dxa"/>
            </w:tcMar>
            <w:vAlign w:val="center"/>
          </w:tcPr>
          <w:p>
            <w:pPr>
              <w:spacing w:before="0" w:after="0" w:line="259" w:lineRule="auto"/>
            </w:pPr>
            <w:r>
              <w:rPr>
                <w:rFonts w:ascii="Calibri" w:hAnsi="Calibri"/>
                <w:b w:val="0"/>
                <w:color w:val="1C232D"/>
                <w:sz w:val="18"/>
              </w:rPr>
              <w:t>Tests cover valid receipt, tampered amount, wrong session ID, replay/idempotency, and invalid signature.</w:t>
            </w:r>
          </w:p>
        </w:tc>
        <w:tc>
          <w:tcPr>
            <w:tcW w:type="dxa" w:w="1655"/>
            <w:tcMar>
              <w:top w:w="80" w:type="dxa"/>
              <w:start w:w="120" w:type="dxa"/>
              <w:bottom w:w="80" w:type="dxa"/>
              <w:end w:w="120" w:type="dxa"/>
            </w:tcMar>
            <w:vAlign w:val="center"/>
          </w:tcPr>
          <w:p>
            <w:pPr>
              <w:spacing w:before="0" w:after="0" w:line="259" w:lineRule="auto"/>
            </w:pPr>
            <w:r>
              <w:rPr>
                <w:rFonts w:ascii="Calibri" w:hAnsi="Calibri"/>
                <w:b w:val="0"/>
                <w:color w:val="1C232D"/>
                <w:sz w:val="18"/>
              </w:rPr>
              <w:t>NEVERFLAT-owned.</w:t>
            </w:r>
          </w:p>
        </w:tc>
      </w:tr>
    </w:tbl>
    <w:p>
      <w:pPr>
        <w:spacing w:before="0" w:after="120" w:line="264" w:lineRule="auto"/>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4F6F9"/>
            <w:tcMar>
              <w:top w:w="140" w:type="dxa"/>
              <w:start w:w="180" w:type="dxa"/>
              <w:bottom w:w="140" w:type="dxa"/>
              <w:end w:w="180" w:type="dxa"/>
            </w:tcMar>
          </w:tcPr>
          <w:p>
            <w:pPr>
              <w:spacing w:after="40"/>
            </w:pPr>
            <w:r>
              <w:rPr>
                <w:rFonts w:ascii="Calibri" w:hAnsi="Calibri"/>
                <w:b/>
                <w:color w:val="1F4D78"/>
                <w:sz w:val="21"/>
              </w:rPr>
              <w:t>Sprint 1 decision</w:t>
            </w:r>
          </w:p>
          <w:p>
            <w:pPr>
              <w:spacing w:after="0"/>
            </w:pPr>
            <w:r>
              <w:rPr>
                <w:rFonts w:ascii="Calibri" w:hAnsi="Calibri"/>
                <w:color w:val="1C232D"/>
                <w:sz w:val="21"/>
              </w:rPr>
              <w:t>Backend-to-backend receipt delivery is preferable for TRL 7, but frontend forwarding is acceptable if receipts are signed, durable, and verifiable. The first implementation should not depend on knowing the final receiver.</w:t>
            </w:r>
          </w:p>
        </w:tc>
      </w:tr>
    </w:tbl>
    <w:p>
      <w:pPr>
        <w:spacing w:before="0" w:after="80" w:line="264" w:lineRule="auto"/>
      </w:pPr>
    </w:p>
    <w:p>
      <w:pPr>
        <w:pStyle w:val="Heading1"/>
        <w:spacing w:before="320" w:after="160"/>
      </w:pPr>
      <w:r>
        <w:t>4. Workstream Detail</w:t>
      </w:r>
    </w:p>
    <w:p>
      <w:pPr>
        <w:pStyle w:val="Heading2"/>
        <w:spacing w:before="240" w:after="120"/>
      </w:pPr>
      <w:r>
        <w:t>4.1 Signed Spend Receipt and Settlement Lifecycle</w:t>
      </w:r>
    </w:p>
    <w:p>
      <w:pPr>
        <w:spacing w:before="0" w:after="120" w:line="264" w:lineRule="auto"/>
      </w:pPr>
      <w:r>
        <w:rPr>
          <w:rFonts w:ascii="Calibri" w:hAnsi="Calibri"/>
          <w:b w:val="0"/>
          <w:color w:val="1C232D"/>
          <w:sz w:val="22"/>
        </w:rPr>
        <w:t>Build a receipt as the business proof of spend. Token movement alone proves an on-chain transfer, but it does not prove that a charging discount was validly requested, linked to a session, accepted by the external system, and auditable later.</w:t>
      </w:r>
    </w:p>
    <w:tbl>
      <w:tblPr>
        <w:tblStyle w:val="TableGrid"/>
        <w:tblW w:type="dxa" w:w="9360"/>
        <w:tblLayout w:type="fixed"/>
        <w:tblLook w:firstColumn="1" w:firstRow="1" w:lastColumn="0" w:lastRow="0" w:noHBand="0" w:noVBand="1" w:val="04A0"/>
        <w:tblInd w:w="120" w:type="dxa"/>
      </w:tblPr>
      <w:tblGrid>
        <w:gridCol w:w="2232"/>
        <w:gridCol w:w="7128"/>
      </w:tblGrid>
      <w:tr>
        <w:tc>
          <w:tcPr>
            <w:tcW w:type="dxa" w:w="2232"/>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Item</w:t>
            </w:r>
          </w:p>
        </w:tc>
        <w:tc>
          <w:tcPr>
            <w:tcW w:type="dxa" w:w="7128"/>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Implementation direction</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Receipt statuses</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`reserved`, `settled`, `rejected`, `expired`, `cancelled`.</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Signature</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Sign canonical JSON with a NEVERFLAT backend signing key. Publish verification rules and key identifier.</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Delivery</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Return receipt to frontend immediately; optionally add server-to-server delivery once the receiver is agreed.</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Replay prevention</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Use receipt ID and session/provider/idempotency key uniqueness.</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Evidence</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Store signed receipt, verification result, token tx hash, and status transitions.</w:t>
            </w:r>
          </w:p>
        </w:tc>
      </w:tr>
    </w:tbl>
    <w:p>
      <w:pPr>
        <w:spacing w:before="0" w:after="120" w:line="264" w:lineRule="auto"/>
      </w:pPr>
    </w:p>
    <w:p>
      <w:pPr>
        <w:pStyle w:val="Heading2"/>
        <w:spacing w:before="240" w:after="120"/>
      </w:pPr>
      <w:r>
        <w:t>4.2 Audit Logs</w:t>
      </w:r>
    </w:p>
    <w:tbl>
      <w:tblPr>
        <w:tblStyle w:val="TableGrid"/>
        <w:tblW w:type="dxa" w:w="9360"/>
        <w:tblLayout w:type="fixed"/>
        <w:tblLook w:firstColumn="1" w:firstRow="1" w:lastColumn="0" w:lastRow="0" w:noHBand="0" w:noVBand="1" w:val="04A0"/>
        <w:tblInd w:w="120" w:type="dxa"/>
      </w:tblPr>
      <w:tblGrid>
        <w:gridCol w:w="2376"/>
        <w:gridCol w:w="6983"/>
      </w:tblGrid>
      <w:tr>
        <w:tc>
          <w:tcPr>
            <w:tcW w:type="dxa" w:w="2376"/>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Event family</w:t>
            </w:r>
          </w:p>
        </w:tc>
        <w:tc>
          <w:tcPr>
            <w:tcW w:type="dxa" w:w="6983"/>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Minimum audit record</w:t>
            </w:r>
          </w:p>
        </w:tc>
      </w:tr>
      <w:tr>
        <w:tc>
          <w:tcPr>
            <w:tcW w:type="dxa" w:w="2376"/>
            <w:tcMar>
              <w:top w:w="80" w:type="dxa"/>
              <w:start w:w="120" w:type="dxa"/>
              <w:bottom w:w="80" w:type="dxa"/>
              <w:end w:w="120" w:type="dxa"/>
            </w:tcMar>
            <w:vAlign w:val="center"/>
          </w:tcPr>
          <w:p>
            <w:pPr>
              <w:spacing w:before="0" w:after="0" w:line="259" w:lineRule="auto"/>
            </w:pPr>
            <w:r>
              <w:rPr>
                <w:rFonts w:ascii="Calibri" w:hAnsi="Calibri"/>
                <w:b w:val="0"/>
                <w:color w:val="1C232D"/>
                <w:sz w:val="18"/>
              </w:rPr>
              <w:t>Receipt lifecycle</w:t>
            </w:r>
          </w:p>
        </w:tc>
        <w:tc>
          <w:tcPr>
            <w:tcW w:type="dxa" w:w="6983"/>
            <w:tcMar>
              <w:top w:w="80" w:type="dxa"/>
              <w:start w:w="120" w:type="dxa"/>
              <w:bottom w:w="80" w:type="dxa"/>
              <w:end w:w="120" w:type="dxa"/>
            </w:tcMar>
            <w:vAlign w:val="center"/>
          </w:tcPr>
          <w:p>
            <w:pPr>
              <w:spacing w:before="0" w:after="0" w:line="259" w:lineRule="auto"/>
            </w:pPr>
            <w:r>
              <w:rPr>
                <w:rFonts w:ascii="Calibri" w:hAnsi="Calibri"/>
                <w:b w:val="0"/>
                <w:color w:val="1C232D"/>
                <w:sz w:val="18"/>
              </w:rPr>
              <w:t>Actor, receipt ID, previous status, new status, amount, session ID, provider ID, timestamp.</w:t>
            </w:r>
          </w:p>
        </w:tc>
      </w:tr>
      <w:tr>
        <w:tc>
          <w:tcPr>
            <w:tcW w:type="dxa" w:w="2376"/>
            <w:tcMar>
              <w:top w:w="80" w:type="dxa"/>
              <w:start w:w="120" w:type="dxa"/>
              <w:bottom w:w="80" w:type="dxa"/>
              <w:end w:w="120" w:type="dxa"/>
            </w:tcMar>
            <w:vAlign w:val="center"/>
          </w:tcPr>
          <w:p>
            <w:pPr>
              <w:spacing w:before="0" w:after="0" w:line="259" w:lineRule="auto"/>
            </w:pPr>
            <w:r>
              <w:rPr>
                <w:rFonts w:ascii="Calibri" w:hAnsi="Calibri"/>
                <w:b w:val="0"/>
                <w:color w:val="1C232D"/>
                <w:sz w:val="18"/>
              </w:rPr>
              <w:t>Admin changes</w:t>
            </w:r>
          </w:p>
        </w:tc>
        <w:tc>
          <w:tcPr>
            <w:tcW w:type="dxa" w:w="6983"/>
            <w:tcMar>
              <w:top w:w="80" w:type="dxa"/>
              <w:start w:w="120" w:type="dxa"/>
              <w:bottom w:w="80" w:type="dxa"/>
              <w:end w:w="120" w:type="dxa"/>
            </w:tcMar>
            <w:vAlign w:val="center"/>
          </w:tcPr>
          <w:p>
            <w:pPr>
              <w:spacing w:before="0" w:after="0" w:line="259" w:lineRule="auto"/>
            </w:pPr>
            <w:r>
              <w:rPr>
                <w:rFonts w:ascii="Calibri" w:hAnsi="Calibri"/>
                <w:b w:val="0"/>
                <w:color w:val="1C232D"/>
                <w:sz w:val="18"/>
              </w:rPr>
              <w:t>Actor, rule version, old values, new values, timestamp, reason if supplied.</w:t>
            </w:r>
          </w:p>
        </w:tc>
      </w:tr>
      <w:tr>
        <w:tc>
          <w:tcPr>
            <w:tcW w:type="dxa" w:w="2376"/>
            <w:tcMar>
              <w:top w:w="80" w:type="dxa"/>
              <w:start w:w="120" w:type="dxa"/>
              <w:bottom w:w="80" w:type="dxa"/>
              <w:end w:w="120" w:type="dxa"/>
            </w:tcMar>
            <w:vAlign w:val="center"/>
          </w:tcPr>
          <w:p>
            <w:pPr>
              <w:spacing w:before="0" w:after="0" w:line="259" w:lineRule="auto"/>
            </w:pPr>
            <w:r>
              <w:rPr>
                <w:rFonts w:ascii="Calibri" w:hAnsi="Calibri"/>
                <w:b w:val="0"/>
                <w:color w:val="1C232D"/>
                <w:sz w:val="18"/>
              </w:rPr>
              <w:t>Wallet actions</w:t>
            </w:r>
          </w:p>
        </w:tc>
        <w:tc>
          <w:tcPr>
            <w:tcW w:type="dxa" w:w="6983"/>
            <w:tcMar>
              <w:top w:w="80" w:type="dxa"/>
              <w:start w:w="120" w:type="dxa"/>
              <w:bottom w:w="80" w:type="dxa"/>
              <w:end w:w="120" w:type="dxa"/>
            </w:tcMar>
            <w:vAlign w:val="center"/>
          </w:tcPr>
          <w:p>
            <w:pPr>
              <w:spacing w:before="0" w:after="0" w:line="259" w:lineRule="auto"/>
            </w:pPr>
            <w:r>
              <w:rPr>
                <w:rFonts w:ascii="Calibri" w:hAnsi="Calibri"/>
                <w:b w:val="0"/>
                <w:color w:val="1C232D"/>
                <w:sz w:val="18"/>
              </w:rPr>
              <w:t>Actor, contract ID, wallet address, mode change or linked wallet action, signature result.</w:t>
            </w:r>
          </w:p>
        </w:tc>
      </w:tr>
      <w:tr>
        <w:tc>
          <w:tcPr>
            <w:tcW w:type="dxa" w:w="2376"/>
            <w:tcMar>
              <w:top w:w="80" w:type="dxa"/>
              <w:start w:w="120" w:type="dxa"/>
              <w:bottom w:w="80" w:type="dxa"/>
              <w:end w:w="120" w:type="dxa"/>
            </w:tcMar>
            <w:vAlign w:val="center"/>
          </w:tcPr>
          <w:p>
            <w:pPr>
              <w:spacing w:before="0" w:after="0" w:line="259" w:lineRule="auto"/>
            </w:pPr>
            <w:r>
              <w:rPr>
                <w:rFonts w:ascii="Calibri" w:hAnsi="Calibri"/>
                <w:b w:val="0"/>
                <w:color w:val="1C232D"/>
                <w:sz w:val="18"/>
              </w:rPr>
              <w:t>Award/spend failures</w:t>
            </w:r>
          </w:p>
        </w:tc>
        <w:tc>
          <w:tcPr>
            <w:tcW w:type="dxa" w:w="6983"/>
            <w:tcMar>
              <w:top w:w="80" w:type="dxa"/>
              <w:start w:w="120" w:type="dxa"/>
              <w:bottom w:w="80" w:type="dxa"/>
              <w:end w:w="120" w:type="dxa"/>
            </w:tcMar>
            <w:vAlign w:val="center"/>
          </w:tcPr>
          <w:p>
            <w:pPr>
              <w:spacing w:before="0" w:after="0" w:line="259" w:lineRule="auto"/>
            </w:pPr>
            <w:r>
              <w:rPr>
                <w:rFonts w:ascii="Calibri" w:hAnsi="Calibri"/>
                <w:b w:val="0"/>
                <w:color w:val="1C232D"/>
                <w:sz w:val="18"/>
              </w:rPr>
              <w:t>Actor/system, stage, error, dedup key, tx hash if present, retry status.</w:t>
            </w:r>
          </w:p>
        </w:tc>
      </w:tr>
    </w:tbl>
    <w:p>
      <w:pPr>
        <w:spacing w:before="0" w:after="120" w:line="264" w:lineRule="auto"/>
      </w:pPr>
    </w:p>
    <w:p>
      <w:pPr>
        <w:pStyle w:val="Heading2"/>
        <w:spacing w:before="240" w:after="120"/>
      </w:pPr>
      <w:r>
        <w:t>4.3 Pilot Identity and RBAC</w:t>
      </w:r>
    </w:p>
    <w:tbl>
      <w:tblPr>
        <w:tblStyle w:val="TableGrid"/>
        <w:tblW w:type="dxa" w:w="9360"/>
        <w:tblLayout w:type="fixed"/>
        <w:tblLook w:firstColumn="1" w:firstRow="1" w:lastColumn="0" w:lastRow="0" w:noHBand="0" w:noVBand="1" w:val="04A0"/>
        <w:tblInd w:w="120" w:type="dxa"/>
      </w:tblPr>
      <w:tblGrid>
        <w:gridCol w:w="2232"/>
        <w:gridCol w:w="7128"/>
      </w:tblGrid>
      <w:tr>
        <w:tc>
          <w:tcPr>
            <w:tcW w:type="dxa" w:w="2232"/>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Control</w:t>
            </w:r>
          </w:p>
        </w:tc>
        <w:tc>
          <w:tcPr>
            <w:tcW w:type="dxa" w:w="7128"/>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Pilot-ready target</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Admin credentials</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No default admin password; credentials must be configured at deployment.</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AU credential</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Dedicated credential scoped to ingestion only, once the AU integration shape is final.</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User wallet access</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Pilot uses EMP-forwarded identity; manual contract ID lookup disabled outside test mode.</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Admin permissions</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At minimum separate view-only from rule-editing permissions or document why a smaller pilot control is accepted.</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Actor logging</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All privileged requests include actor identity in audit logs.</w:t>
            </w:r>
          </w:p>
        </w:tc>
      </w:tr>
    </w:tbl>
    <w:p>
      <w:pPr>
        <w:spacing w:before="0" w:after="120" w:line="264" w:lineRule="auto"/>
      </w:pPr>
    </w:p>
    <w:p>
      <w:pPr>
        <w:pStyle w:val="Heading2"/>
        <w:spacing w:before="240" w:after="120"/>
      </w:pPr>
      <w:r>
        <w:t>4.4 Durable Transaction States</w:t>
      </w:r>
    </w:p>
    <w:tbl>
      <w:tblPr>
        <w:tblStyle w:val="TableGrid"/>
        <w:tblW w:type="dxa" w:w="9360"/>
        <w:tblLayout w:type="fixed"/>
        <w:tblLook w:firstColumn="1" w:firstRow="1" w:lastColumn="0" w:lastRow="0" w:noHBand="0" w:noVBand="1" w:val="04A0"/>
        <w:tblInd w:w="120" w:type="dxa"/>
      </w:tblPr>
      <w:tblGrid>
        <w:gridCol w:w="2232"/>
        <w:gridCol w:w="7128"/>
      </w:tblGrid>
      <w:tr>
        <w:tc>
          <w:tcPr>
            <w:tcW w:type="dxa" w:w="2232"/>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Lifecycle object</w:t>
            </w:r>
          </w:p>
        </w:tc>
        <w:tc>
          <w:tcPr>
            <w:tcW w:type="dxa" w:w="7128"/>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Recommended states</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Award</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`accepted`, `eligible`, `submitted`, `confirmed`, `not_eligible`, `failed`, `retry_required`.</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Spend</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`requested`, `validated`, `submitted`, `confirmed`, `failed`, `retry_required`.</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Receipt</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`reserved`, `settled`, `rejected`, `expired`, `cancelled`.</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Reconciliation</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`matched`, `missing_on_chain`, `missing_in_db`, `amount_mismatch`, `manual_review`.</w:t>
            </w:r>
          </w:p>
        </w:tc>
      </w:tr>
    </w:tbl>
    <w:p>
      <w:pPr>
        <w:spacing w:before="0" w:after="120" w:line="264" w:lineRule="auto"/>
      </w:pPr>
    </w:p>
    <w:p>
      <w:pPr>
        <w:pStyle w:val="Heading1"/>
        <w:spacing w:before="320" w:after="160"/>
      </w:pPr>
      <w:r>
        <w:t>5. Deferred Until Ingestion Stabilises</w:t>
      </w:r>
    </w:p>
    <w:tbl>
      <w:tblPr>
        <w:tblStyle w:val="TableGrid"/>
        <w:tblW w:type="dxa" w:w="9360"/>
        <w:tblLayout w:type="fixed"/>
        <w:tblLook w:firstColumn="1" w:firstRow="1" w:lastColumn="0" w:lastRow="0" w:noHBand="0" w:noVBand="1" w:val="04A0"/>
        <w:tblInd w:w="120" w:type="dxa"/>
      </w:tblPr>
      <w:tblGrid>
        <w:gridCol w:w="2520"/>
        <w:gridCol w:w="3168"/>
        <w:gridCol w:w="3671"/>
      </w:tblGrid>
      <w:tr>
        <w:tc>
          <w:tcPr>
            <w:tcW w:type="dxa" w:w="2520"/>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Deferred item</w:t>
            </w:r>
          </w:p>
        </w:tc>
        <w:tc>
          <w:tcPr>
            <w:tcW w:type="dxa" w:w="3168"/>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Why defer</w:t>
            </w:r>
          </w:p>
        </w:tc>
        <w:tc>
          <w:tcPr>
            <w:tcW w:type="dxa" w:w="3671"/>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What to capture later</w:t>
            </w:r>
          </w:p>
        </w:tc>
      </w:tr>
      <w:tr>
        <w:tc>
          <w:tcPr>
            <w:tcW w:type="dxa" w:w="2520"/>
            <w:tcMar>
              <w:top w:w="80" w:type="dxa"/>
              <w:start w:w="120" w:type="dxa"/>
              <w:bottom w:w="80" w:type="dxa"/>
              <w:end w:w="120" w:type="dxa"/>
            </w:tcMar>
            <w:vAlign w:val="center"/>
          </w:tcPr>
          <w:p>
            <w:pPr>
              <w:spacing w:before="0" w:after="0" w:line="259" w:lineRule="auto"/>
            </w:pPr>
            <w:r>
              <w:rPr>
                <w:rFonts w:ascii="Calibri" w:hAnsi="Calibri"/>
                <w:b w:val="0"/>
                <w:color w:val="1C232D"/>
                <w:sz w:val="18"/>
              </w:rPr>
              <w:t>AU evidence pack</w:t>
            </w:r>
          </w:p>
        </w:tc>
        <w:tc>
          <w:tcPr>
            <w:tcW w:type="dxa" w:w="3168"/>
            <w:tcMar>
              <w:top w:w="80" w:type="dxa"/>
              <w:start w:w="120" w:type="dxa"/>
              <w:bottom w:w="80" w:type="dxa"/>
              <w:end w:w="120" w:type="dxa"/>
            </w:tcMar>
            <w:vAlign w:val="center"/>
          </w:tcPr>
          <w:p>
            <w:pPr>
              <w:spacing w:before="0" w:after="0" w:line="259" w:lineRule="auto"/>
            </w:pPr>
            <w:r>
              <w:rPr>
                <w:rFonts w:ascii="Calibri" w:hAnsi="Calibri"/>
                <w:b w:val="0"/>
                <w:color w:val="1C232D"/>
                <w:sz w:val="18"/>
              </w:rPr>
              <w:t>The ingestion flow may change, so documenting it now may create throwaway work.</w:t>
            </w:r>
          </w:p>
        </w:tc>
        <w:tc>
          <w:tcPr>
            <w:tcW w:type="dxa" w:w="3671"/>
            <w:tcMar>
              <w:top w:w="80" w:type="dxa"/>
              <w:start w:w="120" w:type="dxa"/>
              <w:bottom w:w="80" w:type="dxa"/>
              <w:end w:w="120" w:type="dxa"/>
            </w:tcMar>
            <w:vAlign w:val="center"/>
          </w:tcPr>
          <w:p>
            <w:pPr>
              <w:spacing w:before="0" w:after="0" w:line="259" w:lineRule="auto"/>
            </w:pPr>
            <w:r>
              <w:rPr>
                <w:rFonts w:ascii="Calibri" w:hAnsi="Calibri"/>
                <w:b w:val="0"/>
                <w:color w:val="1C232D"/>
                <w:sz w:val="18"/>
              </w:rPr>
              <w:t>Final payload samples, request logs, accepted API responses, DB rows, tx hashes, and duplicate-call behaviour.</w:t>
            </w:r>
          </w:p>
        </w:tc>
      </w:tr>
      <w:tr>
        <w:tc>
          <w:tcPr>
            <w:tcW w:type="dxa" w:w="2520"/>
            <w:tcMar>
              <w:top w:w="80" w:type="dxa"/>
              <w:start w:w="120" w:type="dxa"/>
              <w:bottom w:w="80" w:type="dxa"/>
              <w:end w:w="120" w:type="dxa"/>
            </w:tcMar>
            <w:vAlign w:val="center"/>
          </w:tcPr>
          <w:p>
            <w:pPr>
              <w:spacing w:before="0" w:after="0" w:line="259" w:lineRule="auto"/>
            </w:pPr>
            <w:r>
              <w:rPr>
                <w:rFonts w:ascii="Calibri" w:hAnsi="Calibri"/>
                <w:b w:val="0"/>
                <w:color w:val="1C232D"/>
                <w:sz w:val="18"/>
              </w:rPr>
              <w:t>AU-specific monitoring</w:t>
            </w:r>
          </w:p>
        </w:tc>
        <w:tc>
          <w:tcPr>
            <w:tcW w:type="dxa" w:w="3168"/>
            <w:tcMar>
              <w:top w:w="80" w:type="dxa"/>
              <w:start w:w="120" w:type="dxa"/>
              <w:bottom w:w="80" w:type="dxa"/>
              <w:end w:w="120" w:type="dxa"/>
            </w:tcMar>
            <w:vAlign w:val="center"/>
          </w:tcPr>
          <w:p>
            <w:pPr>
              <w:spacing w:before="0" w:after="0" w:line="259" w:lineRule="auto"/>
            </w:pPr>
            <w:r>
              <w:rPr>
                <w:rFonts w:ascii="Calibri" w:hAnsi="Calibri"/>
                <w:b w:val="0"/>
                <w:color w:val="1C232D"/>
                <w:sz w:val="18"/>
              </w:rPr>
              <w:t>Dashboards should follow the final operational boundary.</w:t>
            </w:r>
          </w:p>
        </w:tc>
        <w:tc>
          <w:tcPr>
            <w:tcW w:type="dxa" w:w="3671"/>
            <w:tcMar>
              <w:top w:w="80" w:type="dxa"/>
              <w:start w:w="120" w:type="dxa"/>
              <w:bottom w:w="80" w:type="dxa"/>
              <w:end w:w="120" w:type="dxa"/>
            </w:tcMar>
            <w:vAlign w:val="center"/>
          </w:tcPr>
          <w:p>
            <w:pPr>
              <w:spacing w:before="0" w:after="0" w:line="259" w:lineRule="auto"/>
            </w:pPr>
            <w:r>
              <w:rPr>
                <w:rFonts w:ascii="Calibri" w:hAnsi="Calibri"/>
                <w:b w:val="0"/>
                <w:color w:val="1C232D"/>
                <w:sz w:val="18"/>
              </w:rPr>
              <w:t>Request rate, rejection rate, duplicate rate, latency, retry/failure rate, and alert thresholds.</w:t>
            </w:r>
          </w:p>
        </w:tc>
      </w:tr>
      <w:tr>
        <w:tc>
          <w:tcPr>
            <w:tcW w:type="dxa" w:w="2520"/>
            <w:tcMar>
              <w:top w:w="80" w:type="dxa"/>
              <w:start w:w="120" w:type="dxa"/>
              <w:bottom w:w="80" w:type="dxa"/>
              <w:end w:w="120" w:type="dxa"/>
            </w:tcMar>
            <w:vAlign w:val="center"/>
          </w:tcPr>
          <w:p>
            <w:pPr>
              <w:spacing w:before="0" w:after="0" w:line="259" w:lineRule="auto"/>
            </w:pPr>
            <w:r>
              <w:rPr>
                <w:rFonts w:ascii="Calibri" w:hAnsi="Calibri"/>
                <w:b w:val="0"/>
                <w:color w:val="1C232D"/>
                <w:sz w:val="18"/>
              </w:rPr>
              <w:t>AU payload mapping report</w:t>
            </w:r>
          </w:p>
        </w:tc>
        <w:tc>
          <w:tcPr>
            <w:tcW w:type="dxa" w:w="3168"/>
            <w:tcMar>
              <w:top w:w="80" w:type="dxa"/>
              <w:start w:w="120" w:type="dxa"/>
              <w:bottom w:w="80" w:type="dxa"/>
              <w:end w:w="120" w:type="dxa"/>
            </w:tcMar>
            <w:vAlign w:val="center"/>
          </w:tcPr>
          <w:p>
            <w:pPr>
              <w:spacing w:before="0" w:after="0" w:line="259" w:lineRule="auto"/>
            </w:pPr>
            <w:r>
              <w:rPr>
                <w:rFonts w:ascii="Calibri" w:hAnsi="Calibri"/>
                <w:b w:val="0"/>
                <w:color w:val="1C232D"/>
                <w:sz w:val="18"/>
              </w:rPr>
              <w:t>Mapping should be frozen after AU payload shape is stable.</w:t>
            </w:r>
          </w:p>
        </w:tc>
        <w:tc>
          <w:tcPr>
            <w:tcW w:type="dxa" w:w="3671"/>
            <w:tcMar>
              <w:top w:w="80" w:type="dxa"/>
              <w:start w:w="120" w:type="dxa"/>
              <w:bottom w:w="80" w:type="dxa"/>
              <w:end w:w="120" w:type="dxa"/>
            </w:tcMar>
            <w:vAlign w:val="center"/>
          </w:tcPr>
          <w:p>
            <w:pPr>
              <w:spacing w:before="0" w:after="0" w:line="259" w:lineRule="auto"/>
            </w:pPr>
            <w:r>
              <w:rPr>
                <w:rFonts w:ascii="Calibri" w:hAnsi="Calibri"/>
                <w:b w:val="0"/>
                <w:color w:val="1C232D"/>
                <w:sz w:val="18"/>
              </w:rPr>
              <w:t>Field-by-field mapping from AU CDR to NEVERFLAT canonical session.</w:t>
            </w:r>
          </w:p>
        </w:tc>
      </w:tr>
    </w:tbl>
    <w:p>
      <w:pPr>
        <w:spacing w:before="0" w:after="120" w:line="264" w:lineRule="auto"/>
      </w:pPr>
    </w:p>
    <w:p>
      <w:pPr>
        <w:pStyle w:val="Heading1"/>
        <w:spacing w:before="320" w:after="160"/>
      </w:pPr>
      <w:r>
        <w:t>6. TRL 7 Acceptance Gates</w:t>
      </w:r>
    </w:p>
    <w:tbl>
      <w:tblPr>
        <w:tblStyle w:val="TableGrid"/>
        <w:tblW w:type="dxa" w:w="9360"/>
        <w:tblLayout w:type="fixed"/>
        <w:tblLook w:firstColumn="1" w:firstRow="1" w:lastColumn="0" w:lastRow="0" w:noHBand="0" w:noVBand="1" w:val="04A0"/>
        <w:tblInd w:w="120" w:type="dxa"/>
      </w:tblPr>
      <w:tblGrid>
        <w:gridCol w:w="2232"/>
        <w:gridCol w:w="7128"/>
      </w:tblGrid>
      <w:tr>
        <w:tc>
          <w:tcPr>
            <w:tcW w:type="dxa" w:w="2232"/>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Gate</w:t>
            </w:r>
          </w:p>
        </w:tc>
        <w:tc>
          <w:tcPr>
            <w:tcW w:type="dxa" w:w="7128"/>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Pass condition</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Functional gate</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Award, wallet update, spend, signed receipt, receipt verification, admin rules, and audit trail work end-to-end in a pilot environment.</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Integration gate</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Final AU or provider ingestion path is evidenced with realistic CDRs and duplicate handling.</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Operational gate</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Deployment, migrations, secrets, logs, monitoring, rollback, and support runbook are documented and exercised.</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Blockchain gate</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Token contract address, chain, transaction hashes, confirmation handling, and reconciliation reports are available.</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Security gate</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Pilot auth/RBAC controls are active; no default admin credential; sensitive operations are audited.</w:t>
            </w:r>
          </w:p>
        </w:tc>
      </w:tr>
      <w:tr>
        <w:tc>
          <w:tcPr>
            <w:tcW w:type="dxa" w:w="2232"/>
            <w:tcMar>
              <w:top w:w="80" w:type="dxa"/>
              <w:start w:w="120" w:type="dxa"/>
              <w:bottom w:w="80" w:type="dxa"/>
              <w:end w:w="120" w:type="dxa"/>
            </w:tcMar>
            <w:vAlign w:val="center"/>
          </w:tcPr>
          <w:p>
            <w:pPr>
              <w:spacing w:before="0" w:after="0" w:line="259" w:lineRule="auto"/>
            </w:pPr>
            <w:r>
              <w:rPr>
                <w:rFonts w:ascii="Calibri" w:hAnsi="Calibri"/>
                <w:b w:val="0"/>
                <w:color w:val="1C232D"/>
                <w:sz w:val="18"/>
              </w:rPr>
              <w:t>Testing gate</w:t>
            </w:r>
          </w:p>
        </w:tc>
        <w:tc>
          <w:tcPr>
            <w:tcW w:type="dxa" w:w="7128"/>
            <w:tcMar>
              <w:top w:w="80" w:type="dxa"/>
              <w:start w:w="120" w:type="dxa"/>
              <w:bottom w:w="80" w:type="dxa"/>
              <w:end w:w="120" w:type="dxa"/>
            </w:tcMar>
            <w:vAlign w:val="center"/>
          </w:tcPr>
          <w:p>
            <w:pPr>
              <w:spacing w:before="0" w:after="0" w:line="259" w:lineRule="auto"/>
            </w:pPr>
            <w:r>
              <w:rPr>
                <w:rFonts w:ascii="Calibri" w:hAnsi="Calibri"/>
                <w:b w:val="0"/>
                <w:color w:val="1C232D"/>
                <w:sz w:val="18"/>
              </w:rPr>
              <w:t>Unit, API, DB integration, E2E, failure, and load tests have saved reports.</w:t>
            </w:r>
          </w:p>
        </w:tc>
      </w:tr>
    </w:tbl>
    <w:p>
      <w:pPr>
        <w:spacing w:before="0" w:after="120" w:line="264" w:lineRule="auto"/>
      </w:pPr>
    </w:p>
    <w:p>
      <w:pPr>
        <w:pStyle w:val="Heading1"/>
        <w:spacing w:before="320" w:after="160"/>
      </w:pPr>
      <w:r>
        <w:t>7. Horizon Evidence Checklist</w:t>
      </w:r>
    </w:p>
    <w:tbl>
      <w:tblPr>
        <w:tblStyle w:val="TableGrid"/>
        <w:tblW w:type="dxa" w:w="9360"/>
        <w:tblLayout w:type="fixed"/>
        <w:tblLook w:firstColumn="1" w:firstRow="1" w:lastColumn="0" w:lastRow="0" w:noHBand="0" w:noVBand="1" w:val="04A0"/>
        <w:tblInd w:w="120" w:type="dxa"/>
      </w:tblPr>
      <w:tblGrid>
        <w:gridCol w:w="2376"/>
        <w:gridCol w:w="6983"/>
      </w:tblGrid>
      <w:tr>
        <w:tc>
          <w:tcPr>
            <w:tcW w:type="dxa" w:w="2376"/>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Evidence item</w:t>
            </w:r>
          </w:p>
        </w:tc>
        <w:tc>
          <w:tcPr>
            <w:tcW w:type="dxa" w:w="6983"/>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Target artifact</w:t>
            </w:r>
          </w:p>
        </w:tc>
      </w:tr>
      <w:tr>
        <w:tc>
          <w:tcPr>
            <w:tcW w:type="dxa" w:w="2376"/>
            <w:tcMar>
              <w:top w:w="80" w:type="dxa"/>
              <w:start w:w="120" w:type="dxa"/>
              <w:bottom w:w="80" w:type="dxa"/>
              <w:end w:w="120" w:type="dxa"/>
            </w:tcMar>
            <w:vAlign w:val="center"/>
          </w:tcPr>
          <w:p>
            <w:pPr>
              <w:spacing w:before="0" w:after="0" w:line="259" w:lineRule="auto"/>
            </w:pPr>
            <w:r>
              <w:rPr>
                <w:rFonts w:ascii="Calibri" w:hAnsi="Calibri"/>
                <w:b w:val="0"/>
                <w:color w:val="1C232D"/>
                <w:sz w:val="18"/>
              </w:rPr>
              <w:t>Pilot demo script</w:t>
            </w:r>
          </w:p>
        </w:tc>
        <w:tc>
          <w:tcPr>
            <w:tcW w:type="dxa" w:w="6983"/>
            <w:tcMar>
              <w:top w:w="80" w:type="dxa"/>
              <w:start w:w="120" w:type="dxa"/>
              <w:bottom w:w="80" w:type="dxa"/>
              <w:end w:w="120" w:type="dxa"/>
            </w:tcMar>
            <w:vAlign w:val="center"/>
          </w:tcPr>
          <w:p>
            <w:pPr>
              <w:spacing w:before="0" w:after="0" w:line="259" w:lineRule="auto"/>
            </w:pPr>
            <w:r>
              <w:rPr>
                <w:rFonts w:ascii="Calibri" w:hAnsi="Calibri"/>
                <w:b w:val="0"/>
                <w:color w:val="1C232D"/>
                <w:sz w:val="18"/>
              </w:rPr>
              <w:t>Step-by-step script showing AU/pilot CDR, award, wallet balance, spend, signed receipt, and transaction history.</w:t>
            </w:r>
          </w:p>
        </w:tc>
      </w:tr>
      <w:tr>
        <w:tc>
          <w:tcPr>
            <w:tcW w:type="dxa" w:w="2376"/>
            <w:tcMar>
              <w:top w:w="80" w:type="dxa"/>
              <w:start w:w="120" w:type="dxa"/>
              <w:bottom w:w="80" w:type="dxa"/>
              <w:end w:w="120" w:type="dxa"/>
            </w:tcMar>
            <w:vAlign w:val="center"/>
          </w:tcPr>
          <w:p>
            <w:pPr>
              <w:spacing w:before="0" w:after="0" w:line="259" w:lineRule="auto"/>
            </w:pPr>
            <w:r>
              <w:rPr>
                <w:rFonts w:ascii="Calibri" w:hAnsi="Calibri"/>
                <w:b w:val="0"/>
                <w:color w:val="1C232D"/>
                <w:sz w:val="18"/>
              </w:rPr>
              <w:t>Screenshots</w:t>
            </w:r>
          </w:p>
        </w:tc>
        <w:tc>
          <w:tcPr>
            <w:tcW w:type="dxa" w:w="6983"/>
            <w:tcMar>
              <w:top w:w="80" w:type="dxa"/>
              <w:start w:w="120" w:type="dxa"/>
              <w:bottom w:w="80" w:type="dxa"/>
              <w:end w:w="120" w:type="dxa"/>
            </w:tcMar>
            <w:vAlign w:val="center"/>
          </w:tcPr>
          <w:p>
            <w:pPr>
              <w:spacing w:before="0" w:after="0" w:line="259" w:lineRule="auto"/>
            </w:pPr>
            <w:r>
              <w:rPr>
                <w:rFonts w:ascii="Calibri" w:hAnsi="Calibri"/>
                <w:b w:val="0"/>
                <w:color w:val="1C232D"/>
                <w:sz w:val="18"/>
              </w:rPr>
              <w:t>Wallet UI, admin rule screen, transaction history, monitoring dashboard, and receipt verification result.</w:t>
            </w:r>
          </w:p>
        </w:tc>
      </w:tr>
      <w:tr>
        <w:tc>
          <w:tcPr>
            <w:tcW w:type="dxa" w:w="2376"/>
            <w:tcMar>
              <w:top w:w="80" w:type="dxa"/>
              <w:start w:w="120" w:type="dxa"/>
              <w:bottom w:w="80" w:type="dxa"/>
              <w:end w:w="120" w:type="dxa"/>
            </w:tcMar>
            <w:vAlign w:val="center"/>
          </w:tcPr>
          <w:p>
            <w:pPr>
              <w:spacing w:before="0" w:after="0" w:line="259" w:lineRule="auto"/>
            </w:pPr>
            <w:r>
              <w:rPr>
                <w:rFonts w:ascii="Calibri" w:hAnsi="Calibri"/>
                <w:b w:val="0"/>
                <w:color w:val="1C232D"/>
                <w:sz w:val="18"/>
              </w:rPr>
              <w:t>Logs</w:t>
            </w:r>
          </w:p>
        </w:tc>
        <w:tc>
          <w:tcPr>
            <w:tcW w:type="dxa" w:w="6983"/>
            <w:tcMar>
              <w:top w:w="80" w:type="dxa"/>
              <w:start w:w="120" w:type="dxa"/>
              <w:bottom w:w="80" w:type="dxa"/>
              <w:end w:w="120" w:type="dxa"/>
            </w:tcMar>
            <w:vAlign w:val="center"/>
          </w:tcPr>
          <w:p>
            <w:pPr>
              <w:spacing w:before="0" w:after="0" w:line="259" w:lineRule="auto"/>
            </w:pPr>
            <w:r>
              <w:rPr>
                <w:rFonts w:ascii="Calibri" w:hAnsi="Calibri"/>
                <w:b w:val="0"/>
                <w:color w:val="1C232D"/>
                <w:sz w:val="18"/>
              </w:rPr>
              <w:t>Redacted API logs for CDR ingestion, spend request, receipt creation, and status changes.</w:t>
            </w:r>
          </w:p>
        </w:tc>
      </w:tr>
      <w:tr>
        <w:tc>
          <w:tcPr>
            <w:tcW w:type="dxa" w:w="2376"/>
            <w:tcMar>
              <w:top w:w="80" w:type="dxa"/>
              <w:start w:w="120" w:type="dxa"/>
              <w:bottom w:w="80" w:type="dxa"/>
              <w:end w:w="120" w:type="dxa"/>
            </w:tcMar>
            <w:vAlign w:val="center"/>
          </w:tcPr>
          <w:p>
            <w:pPr>
              <w:spacing w:before="0" w:after="0" w:line="259" w:lineRule="auto"/>
            </w:pPr>
            <w:r>
              <w:rPr>
                <w:rFonts w:ascii="Calibri" w:hAnsi="Calibri"/>
                <w:b w:val="0"/>
                <w:color w:val="1C232D"/>
                <w:sz w:val="18"/>
              </w:rPr>
              <w:t>Database extracts</w:t>
            </w:r>
          </w:p>
        </w:tc>
        <w:tc>
          <w:tcPr>
            <w:tcW w:type="dxa" w:w="6983"/>
            <w:tcMar>
              <w:top w:w="80" w:type="dxa"/>
              <w:start w:w="120" w:type="dxa"/>
              <w:bottom w:w="80" w:type="dxa"/>
              <w:end w:w="120" w:type="dxa"/>
            </w:tcMar>
            <w:vAlign w:val="center"/>
          </w:tcPr>
          <w:p>
            <w:pPr>
              <w:spacing w:before="0" w:after="0" w:line="259" w:lineRule="auto"/>
            </w:pPr>
            <w:r>
              <w:rPr>
                <w:rFonts w:ascii="Calibri" w:hAnsi="Calibri"/>
                <w:b w:val="0"/>
                <w:color w:val="1C232D"/>
                <w:sz w:val="18"/>
              </w:rPr>
              <w:t>Awards, spends, receipts, audit logs, and reconciliation result rows with sensitive fields redacted.</w:t>
            </w:r>
          </w:p>
        </w:tc>
      </w:tr>
      <w:tr>
        <w:tc>
          <w:tcPr>
            <w:tcW w:type="dxa" w:w="2376"/>
            <w:tcMar>
              <w:top w:w="80" w:type="dxa"/>
              <w:start w:w="120" w:type="dxa"/>
              <w:bottom w:w="80" w:type="dxa"/>
              <w:end w:w="120" w:type="dxa"/>
            </w:tcMar>
            <w:vAlign w:val="center"/>
          </w:tcPr>
          <w:p>
            <w:pPr>
              <w:spacing w:before="0" w:after="0" w:line="259" w:lineRule="auto"/>
            </w:pPr>
            <w:r>
              <w:rPr>
                <w:rFonts w:ascii="Calibri" w:hAnsi="Calibri"/>
                <w:b w:val="0"/>
                <w:color w:val="1C232D"/>
                <w:sz w:val="18"/>
              </w:rPr>
              <w:t>Blockchain proof</w:t>
            </w:r>
          </w:p>
        </w:tc>
        <w:tc>
          <w:tcPr>
            <w:tcW w:type="dxa" w:w="6983"/>
            <w:tcMar>
              <w:top w:w="80" w:type="dxa"/>
              <w:start w:w="120" w:type="dxa"/>
              <w:bottom w:w="80" w:type="dxa"/>
              <w:end w:w="120" w:type="dxa"/>
            </w:tcMar>
            <w:vAlign w:val="center"/>
          </w:tcPr>
          <w:p>
            <w:pPr>
              <w:spacing w:before="0" w:after="0" w:line="259" w:lineRule="auto"/>
            </w:pPr>
            <w:r>
              <w:rPr>
                <w:rFonts w:ascii="Calibri" w:hAnsi="Calibri"/>
                <w:b w:val="0"/>
                <w:color w:val="1C232D"/>
                <w:sz w:val="18"/>
              </w:rPr>
              <w:t>Polygon transaction hashes, token contract address, chain ID, and confirmation details.</w:t>
            </w:r>
          </w:p>
        </w:tc>
      </w:tr>
      <w:tr>
        <w:tc>
          <w:tcPr>
            <w:tcW w:type="dxa" w:w="2376"/>
            <w:tcMar>
              <w:top w:w="80" w:type="dxa"/>
              <w:start w:w="120" w:type="dxa"/>
              <w:bottom w:w="80" w:type="dxa"/>
              <w:end w:w="120" w:type="dxa"/>
            </w:tcMar>
            <w:vAlign w:val="center"/>
          </w:tcPr>
          <w:p>
            <w:pPr>
              <w:spacing w:before="0" w:after="0" w:line="259" w:lineRule="auto"/>
            </w:pPr>
            <w:r>
              <w:rPr>
                <w:rFonts w:ascii="Calibri" w:hAnsi="Calibri"/>
                <w:b w:val="0"/>
                <w:color w:val="1C232D"/>
                <w:sz w:val="18"/>
              </w:rPr>
              <w:t>Test reports</w:t>
            </w:r>
          </w:p>
        </w:tc>
        <w:tc>
          <w:tcPr>
            <w:tcW w:type="dxa" w:w="6983"/>
            <w:tcMar>
              <w:top w:w="80" w:type="dxa"/>
              <w:start w:w="120" w:type="dxa"/>
              <w:bottom w:w="80" w:type="dxa"/>
              <w:end w:w="120" w:type="dxa"/>
            </w:tcMar>
            <w:vAlign w:val="center"/>
          </w:tcPr>
          <w:p>
            <w:pPr>
              <w:spacing w:before="0" w:after="0" w:line="259" w:lineRule="auto"/>
            </w:pPr>
            <w:r>
              <w:rPr>
                <w:rFonts w:ascii="Calibri" w:hAnsi="Calibri"/>
                <w:b w:val="0"/>
                <w:color w:val="1C232D"/>
                <w:sz w:val="18"/>
              </w:rPr>
              <w:t>Jest/API/E2E/load/security results with date, environment, version, and pass/fail summary.</w:t>
            </w:r>
          </w:p>
        </w:tc>
      </w:tr>
      <w:tr>
        <w:tc>
          <w:tcPr>
            <w:tcW w:type="dxa" w:w="2376"/>
            <w:tcMar>
              <w:top w:w="80" w:type="dxa"/>
              <w:start w:w="120" w:type="dxa"/>
              <w:bottom w:w="80" w:type="dxa"/>
              <w:end w:w="120" w:type="dxa"/>
            </w:tcMar>
            <w:vAlign w:val="center"/>
          </w:tcPr>
          <w:p>
            <w:pPr>
              <w:spacing w:before="0" w:after="0" w:line="259" w:lineRule="auto"/>
            </w:pPr>
            <w:r>
              <w:rPr>
                <w:rFonts w:ascii="Calibri" w:hAnsi="Calibri"/>
                <w:b w:val="0"/>
                <w:color w:val="1C232D"/>
                <w:sz w:val="18"/>
              </w:rPr>
              <w:t>Deployment record</w:t>
            </w:r>
          </w:p>
        </w:tc>
        <w:tc>
          <w:tcPr>
            <w:tcW w:type="dxa" w:w="6983"/>
            <w:tcMar>
              <w:top w:w="80" w:type="dxa"/>
              <w:start w:w="120" w:type="dxa"/>
              <w:bottom w:w="80" w:type="dxa"/>
              <w:end w:w="120" w:type="dxa"/>
            </w:tcMar>
            <w:vAlign w:val="center"/>
          </w:tcPr>
          <w:p>
            <w:pPr>
              <w:spacing w:before="0" w:after="0" w:line="259" w:lineRule="auto"/>
            </w:pPr>
            <w:r>
              <w:rPr>
                <w:rFonts w:ascii="Calibri" w:hAnsi="Calibri"/>
                <w:b w:val="0"/>
                <w:color w:val="1C232D"/>
                <w:sz w:val="18"/>
              </w:rPr>
              <w:t>Image tag/digest, environment config checklist, migration logs, secrets method, and rollback notes.</w:t>
            </w:r>
          </w:p>
        </w:tc>
      </w:tr>
    </w:tbl>
    <w:p>
      <w:pPr>
        <w:spacing w:before="0" w:after="120" w:line="264" w:lineRule="auto"/>
      </w:pPr>
    </w:p>
    <w:p>
      <w:pPr>
        <w:pStyle w:val="Heading1"/>
        <w:spacing w:before="320" w:after="160"/>
      </w:pPr>
      <w:r>
        <w:t>8. Suggested Immediate Backlog</w:t>
      </w:r>
    </w:p>
    <w:tbl>
      <w:tblPr>
        <w:tblStyle w:val="TableGrid"/>
        <w:tblW w:type="dxa" w:w="9360"/>
        <w:tblLayout w:type="fixed"/>
        <w:tblLook w:firstColumn="1" w:firstRow="1" w:lastColumn="0" w:lastRow="0" w:noHBand="0" w:noVBand="1" w:val="04A0"/>
        <w:tblInd w:w="120" w:type="dxa"/>
      </w:tblPr>
      <w:tblGrid>
        <w:gridCol w:w="936"/>
        <w:gridCol w:w="3240"/>
        <w:gridCol w:w="5184"/>
      </w:tblGrid>
      <w:tr>
        <w:tc>
          <w:tcPr>
            <w:tcW w:type="dxa" w:w="936"/>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Order</w:t>
            </w:r>
          </w:p>
        </w:tc>
        <w:tc>
          <w:tcPr>
            <w:tcW w:type="dxa" w:w="3240"/>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Backlog item</w:t>
            </w:r>
          </w:p>
        </w:tc>
        <w:tc>
          <w:tcPr>
            <w:tcW w:type="dxa" w:w="5184"/>
            <w:shd w:fill="F2F4F7"/>
            <w:tcMar>
              <w:top w:w="80" w:type="dxa"/>
              <w:start w:w="120" w:type="dxa"/>
              <w:bottom w:w="80" w:type="dxa"/>
              <w:end w:w="120" w:type="dxa"/>
            </w:tcMar>
            <w:vAlign w:val="center"/>
          </w:tcPr>
          <w:p>
            <w:pPr>
              <w:spacing w:before="0" w:after="0" w:line="259" w:lineRule="auto"/>
            </w:pPr>
            <w:r>
              <w:rPr>
                <w:rFonts w:ascii="Calibri" w:hAnsi="Calibri"/>
                <w:b/>
                <w:color w:val="1F4D78"/>
                <w:sz w:val="18"/>
              </w:rPr>
              <w:t>Definition of done</w:t>
            </w:r>
          </w:p>
        </w:tc>
      </w:tr>
      <w:tr>
        <w:tc>
          <w:tcPr>
            <w:tcW w:type="dxa" w:w="936"/>
            <w:tcMar>
              <w:top w:w="80" w:type="dxa"/>
              <w:start w:w="120" w:type="dxa"/>
              <w:bottom w:w="80" w:type="dxa"/>
              <w:end w:w="120" w:type="dxa"/>
            </w:tcMar>
            <w:vAlign w:val="center"/>
          </w:tcPr>
          <w:p>
            <w:pPr>
              <w:spacing w:before="0" w:after="0" w:line="259" w:lineRule="auto"/>
            </w:pPr>
            <w:r>
              <w:rPr>
                <w:rFonts w:ascii="Calibri" w:hAnsi="Calibri"/>
                <w:b w:val="0"/>
                <w:color w:val="1C232D"/>
                <w:sz w:val="18"/>
              </w:rPr>
              <w:t>1</w:t>
            </w:r>
          </w:p>
        </w:tc>
        <w:tc>
          <w:tcPr>
            <w:tcW w:type="dxa" w:w="3240"/>
            <w:tcMar>
              <w:top w:w="80" w:type="dxa"/>
              <w:start w:w="120" w:type="dxa"/>
              <w:bottom w:w="80" w:type="dxa"/>
              <w:end w:w="120" w:type="dxa"/>
            </w:tcMar>
            <w:vAlign w:val="center"/>
          </w:tcPr>
          <w:p>
            <w:pPr>
              <w:spacing w:before="0" w:after="0" w:line="259" w:lineRule="auto"/>
            </w:pPr>
            <w:r>
              <w:rPr>
                <w:rFonts w:ascii="Calibri" w:hAnsi="Calibri"/>
                <w:b w:val="0"/>
                <w:color w:val="1C232D"/>
                <w:sz w:val="18"/>
              </w:rPr>
              <w:t>Create receipt schema and signing utility.</w:t>
            </w:r>
          </w:p>
        </w:tc>
        <w:tc>
          <w:tcPr>
            <w:tcW w:type="dxa" w:w="5184"/>
            <w:tcMar>
              <w:top w:w="80" w:type="dxa"/>
              <w:start w:w="120" w:type="dxa"/>
              <w:bottom w:w="80" w:type="dxa"/>
              <w:end w:w="120" w:type="dxa"/>
            </w:tcMar>
            <w:vAlign w:val="center"/>
          </w:tcPr>
          <w:p>
            <w:pPr>
              <w:spacing w:before="0" w:after="0" w:line="259" w:lineRule="auto"/>
            </w:pPr>
            <w:r>
              <w:rPr>
                <w:rFonts w:ascii="Calibri" w:hAnsi="Calibri"/>
                <w:b w:val="0"/>
                <w:color w:val="1C232D"/>
                <w:sz w:val="18"/>
              </w:rPr>
              <w:t>Receipt can be generated and verified in automated tests.</w:t>
            </w:r>
          </w:p>
        </w:tc>
      </w:tr>
      <w:tr>
        <w:tc>
          <w:tcPr>
            <w:tcW w:type="dxa" w:w="936"/>
            <w:tcMar>
              <w:top w:w="80" w:type="dxa"/>
              <w:start w:w="120" w:type="dxa"/>
              <w:bottom w:w="80" w:type="dxa"/>
              <w:end w:w="120" w:type="dxa"/>
            </w:tcMar>
            <w:vAlign w:val="center"/>
          </w:tcPr>
          <w:p>
            <w:pPr>
              <w:spacing w:before="0" w:after="0" w:line="259" w:lineRule="auto"/>
            </w:pPr>
            <w:r>
              <w:rPr>
                <w:rFonts w:ascii="Calibri" w:hAnsi="Calibri"/>
                <w:b w:val="0"/>
                <w:color w:val="1C232D"/>
                <w:sz w:val="18"/>
              </w:rPr>
              <w:t>2</w:t>
            </w:r>
          </w:p>
        </w:tc>
        <w:tc>
          <w:tcPr>
            <w:tcW w:type="dxa" w:w="3240"/>
            <w:tcMar>
              <w:top w:w="80" w:type="dxa"/>
              <w:start w:w="120" w:type="dxa"/>
              <w:bottom w:w="80" w:type="dxa"/>
              <w:end w:w="120" w:type="dxa"/>
            </w:tcMar>
            <w:vAlign w:val="center"/>
          </w:tcPr>
          <w:p>
            <w:pPr>
              <w:spacing w:before="0" w:after="0" w:line="259" w:lineRule="auto"/>
            </w:pPr>
            <w:r>
              <w:rPr>
                <w:rFonts w:ascii="Calibri" w:hAnsi="Calibri"/>
                <w:b w:val="0"/>
                <w:color w:val="1C232D"/>
                <w:sz w:val="18"/>
              </w:rPr>
              <w:t>Add receipts migration and service methods.</w:t>
            </w:r>
          </w:p>
        </w:tc>
        <w:tc>
          <w:tcPr>
            <w:tcW w:type="dxa" w:w="5184"/>
            <w:tcMar>
              <w:top w:w="80" w:type="dxa"/>
              <w:start w:w="120" w:type="dxa"/>
              <w:bottom w:w="80" w:type="dxa"/>
              <w:end w:w="120" w:type="dxa"/>
            </w:tcMar>
            <w:vAlign w:val="center"/>
          </w:tcPr>
          <w:p>
            <w:pPr>
              <w:spacing w:before="0" w:after="0" w:line="259" w:lineRule="auto"/>
            </w:pPr>
            <w:r>
              <w:rPr>
                <w:rFonts w:ascii="Calibri" w:hAnsi="Calibri"/>
                <w:b w:val="0"/>
                <w:color w:val="1C232D"/>
                <w:sz w:val="18"/>
              </w:rPr>
              <w:t>Receipt persistence supports uniqueness, status updates, and lookup by receipt ID/session ID.</w:t>
            </w:r>
          </w:p>
        </w:tc>
      </w:tr>
      <w:tr>
        <w:tc>
          <w:tcPr>
            <w:tcW w:type="dxa" w:w="936"/>
            <w:tcMar>
              <w:top w:w="80" w:type="dxa"/>
              <w:start w:w="120" w:type="dxa"/>
              <w:bottom w:w="80" w:type="dxa"/>
              <w:end w:w="120" w:type="dxa"/>
            </w:tcMar>
            <w:vAlign w:val="center"/>
          </w:tcPr>
          <w:p>
            <w:pPr>
              <w:spacing w:before="0" w:after="0" w:line="259" w:lineRule="auto"/>
            </w:pPr>
            <w:r>
              <w:rPr>
                <w:rFonts w:ascii="Calibri" w:hAnsi="Calibri"/>
                <w:b w:val="0"/>
                <w:color w:val="1C232D"/>
                <w:sz w:val="18"/>
              </w:rPr>
              <w:t>3</w:t>
            </w:r>
          </w:p>
        </w:tc>
        <w:tc>
          <w:tcPr>
            <w:tcW w:type="dxa" w:w="3240"/>
            <w:tcMar>
              <w:top w:w="80" w:type="dxa"/>
              <w:start w:w="120" w:type="dxa"/>
              <w:bottom w:w="80" w:type="dxa"/>
              <w:end w:w="120" w:type="dxa"/>
            </w:tcMar>
            <w:vAlign w:val="center"/>
          </w:tcPr>
          <w:p>
            <w:pPr>
              <w:spacing w:before="0" w:after="0" w:line="259" w:lineRule="auto"/>
            </w:pPr>
            <w:r>
              <w:rPr>
                <w:rFonts w:ascii="Calibri" w:hAnsi="Calibri"/>
                <w:b w:val="0"/>
                <w:color w:val="1C232D"/>
                <w:sz w:val="18"/>
              </w:rPr>
              <w:t>Wire receipt creation into spend endpoints.</w:t>
            </w:r>
          </w:p>
        </w:tc>
        <w:tc>
          <w:tcPr>
            <w:tcW w:type="dxa" w:w="5184"/>
            <w:tcMar>
              <w:top w:w="80" w:type="dxa"/>
              <w:start w:w="120" w:type="dxa"/>
              <w:bottom w:w="80" w:type="dxa"/>
              <w:end w:w="120" w:type="dxa"/>
            </w:tcMar>
            <w:vAlign w:val="center"/>
          </w:tcPr>
          <w:p>
            <w:pPr>
              <w:spacing w:before="0" w:after="0" w:line="259" w:lineRule="auto"/>
            </w:pPr>
            <w:r>
              <w:rPr>
                <w:rFonts w:ascii="Calibri" w:hAnsi="Calibri"/>
                <w:b w:val="0"/>
                <w:color w:val="1C232D"/>
                <w:sz w:val="18"/>
              </w:rPr>
              <w:t>Spend response includes signed receipt; existing wallet balance behaviour remains intact.</w:t>
            </w:r>
          </w:p>
        </w:tc>
      </w:tr>
      <w:tr>
        <w:tc>
          <w:tcPr>
            <w:tcW w:type="dxa" w:w="936"/>
            <w:tcMar>
              <w:top w:w="80" w:type="dxa"/>
              <w:start w:w="120" w:type="dxa"/>
              <w:bottom w:w="80" w:type="dxa"/>
              <w:end w:w="120" w:type="dxa"/>
            </w:tcMar>
            <w:vAlign w:val="center"/>
          </w:tcPr>
          <w:p>
            <w:pPr>
              <w:spacing w:before="0" w:after="0" w:line="259" w:lineRule="auto"/>
            </w:pPr>
            <w:r>
              <w:rPr>
                <w:rFonts w:ascii="Calibri" w:hAnsi="Calibri"/>
                <w:b w:val="0"/>
                <w:color w:val="1C232D"/>
                <w:sz w:val="18"/>
              </w:rPr>
              <w:t>4</w:t>
            </w:r>
          </w:p>
        </w:tc>
        <w:tc>
          <w:tcPr>
            <w:tcW w:type="dxa" w:w="3240"/>
            <w:tcMar>
              <w:top w:w="80" w:type="dxa"/>
              <w:start w:w="120" w:type="dxa"/>
              <w:bottom w:w="80" w:type="dxa"/>
              <w:end w:w="120" w:type="dxa"/>
            </w:tcMar>
            <w:vAlign w:val="center"/>
          </w:tcPr>
          <w:p>
            <w:pPr>
              <w:spacing w:before="0" w:after="0" w:line="259" w:lineRule="auto"/>
            </w:pPr>
            <w:r>
              <w:rPr>
                <w:rFonts w:ascii="Calibri" w:hAnsi="Calibri"/>
                <w:b w:val="0"/>
                <w:color w:val="1C232D"/>
                <w:sz w:val="18"/>
              </w:rPr>
              <w:t>Add audit log migration and helper.</w:t>
            </w:r>
          </w:p>
        </w:tc>
        <w:tc>
          <w:tcPr>
            <w:tcW w:type="dxa" w:w="5184"/>
            <w:tcMar>
              <w:top w:w="80" w:type="dxa"/>
              <w:start w:w="120" w:type="dxa"/>
              <w:bottom w:w="80" w:type="dxa"/>
              <w:end w:w="120" w:type="dxa"/>
            </w:tcMar>
            <w:vAlign w:val="center"/>
          </w:tcPr>
          <w:p>
            <w:pPr>
              <w:spacing w:before="0" w:after="0" w:line="259" w:lineRule="auto"/>
            </w:pPr>
            <w:r>
              <w:rPr>
                <w:rFonts w:ascii="Calibri" w:hAnsi="Calibri"/>
                <w:b w:val="0"/>
                <w:color w:val="1C232D"/>
                <w:sz w:val="18"/>
              </w:rPr>
              <w:t>Receipt, spend, admin, and wallet actions can emit audit events.</w:t>
            </w:r>
          </w:p>
        </w:tc>
      </w:tr>
      <w:tr>
        <w:tc>
          <w:tcPr>
            <w:tcW w:type="dxa" w:w="936"/>
            <w:tcMar>
              <w:top w:w="80" w:type="dxa"/>
              <w:start w:w="120" w:type="dxa"/>
              <w:bottom w:w="80" w:type="dxa"/>
              <w:end w:w="120" w:type="dxa"/>
            </w:tcMar>
            <w:vAlign w:val="center"/>
          </w:tcPr>
          <w:p>
            <w:pPr>
              <w:spacing w:before="0" w:after="0" w:line="259" w:lineRule="auto"/>
            </w:pPr>
            <w:r>
              <w:rPr>
                <w:rFonts w:ascii="Calibri" w:hAnsi="Calibri"/>
                <w:b w:val="0"/>
                <w:color w:val="1C232D"/>
                <w:sz w:val="18"/>
              </w:rPr>
              <w:t>5</w:t>
            </w:r>
          </w:p>
        </w:tc>
        <w:tc>
          <w:tcPr>
            <w:tcW w:type="dxa" w:w="3240"/>
            <w:tcMar>
              <w:top w:w="80" w:type="dxa"/>
              <w:start w:w="120" w:type="dxa"/>
              <w:bottom w:w="80" w:type="dxa"/>
              <w:end w:w="120" w:type="dxa"/>
            </w:tcMar>
            <w:vAlign w:val="center"/>
          </w:tcPr>
          <w:p>
            <w:pPr>
              <w:spacing w:before="0" w:after="0" w:line="259" w:lineRule="auto"/>
            </w:pPr>
            <w:r>
              <w:rPr>
                <w:rFonts w:ascii="Calibri" w:hAnsi="Calibri"/>
                <w:b w:val="0"/>
                <w:color w:val="1C232D"/>
                <w:sz w:val="18"/>
              </w:rPr>
              <w:t>Add tests and API docs.</w:t>
            </w:r>
          </w:p>
        </w:tc>
        <w:tc>
          <w:tcPr>
            <w:tcW w:type="dxa" w:w="5184"/>
            <w:tcMar>
              <w:top w:w="80" w:type="dxa"/>
              <w:start w:w="120" w:type="dxa"/>
              <w:bottom w:w="80" w:type="dxa"/>
              <w:end w:w="120" w:type="dxa"/>
            </w:tcMar>
            <w:vAlign w:val="center"/>
          </w:tcPr>
          <w:p>
            <w:pPr>
              <w:spacing w:before="0" w:after="0" w:line="259" w:lineRule="auto"/>
            </w:pPr>
            <w:r>
              <w:rPr>
                <w:rFonts w:ascii="Calibri" w:hAnsi="Calibri"/>
                <w:b w:val="0"/>
                <w:color w:val="1C232D"/>
                <w:sz w:val="18"/>
              </w:rPr>
              <w:t>Build and tests pass; API docs show receipt fields and verification rules.</w:t>
            </w:r>
          </w:p>
        </w:tc>
      </w:tr>
      <w:tr>
        <w:tc>
          <w:tcPr>
            <w:tcW w:type="dxa" w:w="936"/>
            <w:tcMar>
              <w:top w:w="80" w:type="dxa"/>
              <w:start w:w="120" w:type="dxa"/>
              <w:bottom w:w="80" w:type="dxa"/>
              <w:end w:w="120" w:type="dxa"/>
            </w:tcMar>
            <w:vAlign w:val="center"/>
          </w:tcPr>
          <w:p>
            <w:pPr>
              <w:spacing w:before="0" w:after="0" w:line="259" w:lineRule="auto"/>
            </w:pPr>
            <w:r>
              <w:rPr>
                <w:rFonts w:ascii="Calibri" w:hAnsi="Calibri"/>
                <w:b w:val="0"/>
                <w:color w:val="1C232D"/>
                <w:sz w:val="18"/>
              </w:rPr>
              <w:t>6</w:t>
            </w:r>
          </w:p>
        </w:tc>
        <w:tc>
          <w:tcPr>
            <w:tcW w:type="dxa" w:w="3240"/>
            <w:tcMar>
              <w:top w:w="80" w:type="dxa"/>
              <w:start w:w="120" w:type="dxa"/>
              <w:bottom w:w="80" w:type="dxa"/>
              <w:end w:w="120" w:type="dxa"/>
            </w:tcMar>
            <w:vAlign w:val="center"/>
          </w:tcPr>
          <w:p>
            <w:pPr>
              <w:spacing w:before="0" w:after="0" w:line="259" w:lineRule="auto"/>
            </w:pPr>
            <w:r>
              <w:rPr>
                <w:rFonts w:ascii="Calibri" w:hAnsi="Calibri"/>
                <w:b w:val="0"/>
                <w:color w:val="1C232D"/>
                <w:sz w:val="18"/>
              </w:rPr>
              <w:t>Plan pilot RBAC changes.</w:t>
            </w:r>
          </w:p>
        </w:tc>
        <w:tc>
          <w:tcPr>
            <w:tcW w:type="dxa" w:w="5184"/>
            <w:tcMar>
              <w:top w:w="80" w:type="dxa"/>
              <w:start w:w="120" w:type="dxa"/>
              <w:bottom w:w="80" w:type="dxa"/>
              <w:end w:w="120" w:type="dxa"/>
            </w:tcMar>
            <w:vAlign w:val="center"/>
          </w:tcPr>
          <w:p>
            <w:pPr>
              <w:spacing w:before="0" w:after="0" w:line="259" w:lineRule="auto"/>
            </w:pPr>
            <w:r>
              <w:rPr>
                <w:rFonts w:ascii="Calibri" w:hAnsi="Calibri"/>
                <w:b w:val="0"/>
                <w:color w:val="1C232D"/>
                <w:sz w:val="18"/>
              </w:rPr>
              <w:t>Manual routes, admin credentials, and AU scoped credential are specified for pilot deployment.</w:t>
            </w:r>
          </w:p>
        </w:tc>
      </w:tr>
    </w:tbl>
    <w:p>
      <w:pPr>
        <w:spacing w:before="0" w:after="120" w:line="264"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B6570"/>
        <w:sz w:val="17"/>
      </w:rPr>
      <w:t>Prepared for Horizon TRL 7 readiness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color w:val="5B6570"/>
        <w:sz w:val="18"/>
      </w:rPr>
      <w:t>NEVERFLAT Award and Wallet System | TRL 7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C23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