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TURAS ANALYTICS</w:t>
      </w:r>
    </w:p>
    <w:p>
      <w:pPr>
        <w:spacing w:after="80"/>
        <w:jc w:val="center"/>
      </w:pPr>
      <w:r>
        <w:rPr>
          <w:rFonts w:ascii="Arial" w:cs="Arial" w:eastAsia="Arial" w:hAnsi="Arial"/>
          <w:color w:val="2E75B6"/>
          <w:sz w:val="30"/>
          <w:szCs w:val="30"/>
        </w:rPr>
        <w:t xml:space="preserve">Data Loading QA Checklist</w:t>
      </w:r>
    </w:p>
    <w:p>
      <w:pPr>
        <w:spacing w:after="300"/>
        <w:jc w:val="center"/>
      </w:pPr>
      <w:r>
        <w:rPr>
          <w:rFonts w:ascii="Arial" w:cs="Arial" w:eastAsia="Arial" w:hAnsi="Arial"/>
          <w:i/>
          <w:iCs/>
          <w:color w:val="888888"/>
          <w:sz w:val="20"/>
          <w:szCs w:val="20"/>
        </w:rPr>
        <w:t xml:space="preserve">Complete before running any Turas module</w:t>
      </w:r>
    </w:p>
    <w:p>
      <w:pPr>
        <w:pStyle w:val="Body"/>
      </w:pPr>
      <w:r>
        <w:rPr>
          <w:b/>
          <w:bCs/>
        </w:rPr>
        <w:t xml:space="preserve">Purpose: </w:t>
      </w:r>
      <w:r>
        <w:t xml:space="preserve">This checklist documents that data was inspected and loaded correctly into Turas before analysis. It creates an auditable record of the data state at the point of loading. Complete one checklist per project or per dataset revision. File with project records.</w:t>
      </w:r>
    </w:p>
    <w:p>
      <w:pPr>
        <w:pStyle w:val="Body"/>
      </w:pPr>
    </w:p>
    <w:p>
      <w:pPr>
        <w:pStyle w:val="Heading2"/>
      </w:pPr>
      <w:r>
        <w:t xml:space="preserve">Project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Project name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Client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Data file(s) received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File format(s)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Date data received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Date loaded into Turas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Expected n (from client/fieldwork)</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Actual n loaded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Modules to be run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Loaded by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bl>
    <w:p>
      <w:pPr>
        <w:pStyle w:val="Body"/>
      </w:pPr>
    </w:p>
    <w:p>
      <w:pPr>
        <w:pStyle w:val="Heading1"/>
      </w:pPr>
      <w:r>
        <w:t xml:space="preserve">Data Loading Checks</w:t>
      </w:r>
    </w:p>
    <w:p>
      <w:pPr>
        <w:pStyle w:val="Body"/>
      </w:pPr>
      <w:r>
        <w:rPr>
          <w:i/>
          <w:iCs/>
          <w:color w:val="666666"/>
        </w:rPr>
        <w:t xml:space="preserve">Tick each item once verified. If a check fails or is not applicable, note the reason in the project file. Any item marked as failed must be resolved or formally accepted by the analyst before proceeding.</w:t>
      </w:r>
    </w:p>
    <w:p>
      <w:pPr>
        <w:pStyle w:val="Body"/>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4600"/>
        <w:gridCol w:w="3226"/>
      </w:tblGrid>
      <w:tr>
        <w:tc>
          <w:tcPr>
            <w:tcW w:type="dxa" w:w="6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pPr>
              <w:jc w:val="center"/>
            </w:pPr>
            <w:r>
              <w:rPr>
                <w:b/>
                <w:bCs/>
                <w:sz w:val="18"/>
                <w:szCs w:val="18"/>
              </w:rPr>
              <w:t xml:space="preserve">#</w:t>
            </w:r>
          </w:p>
        </w:tc>
        <w:tc>
          <w:tcPr>
            <w:tcW w:type="dxa" w:w="6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pPr>
              <w:jc w:val="center"/>
            </w:pPr>
            <w:r>
              <w:rPr>
                <w:b/>
                <w:bCs/>
                <w:sz w:val="18"/>
                <w:szCs w:val="18"/>
              </w:rPr>
              <w:t xml:space="preserve">✓</w:t>
            </w:r>
          </w:p>
        </w:tc>
        <w:tc>
          <w:tcPr>
            <w:tcW w:type="dxa" w:w="46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b/>
                <w:bCs/>
                <w:sz w:val="18"/>
                <w:szCs w:val="18"/>
              </w:rPr>
              <w:t xml:space="preserve">Check</w:t>
            </w:r>
          </w:p>
        </w:tc>
        <w:tc>
          <w:tcPr>
            <w:tcW w:type="dxa" w:w="3226"/>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b/>
                <w:bCs/>
                <w:sz w:val="18"/>
                <w:szCs w:val="18"/>
              </w:rPr>
              <w:t xml:space="preserve">What to look for</w:t>
            </w:r>
          </w:p>
        </w:tc>
      </w:tr>
      <w:tr>
        <w:tc>
          <w:tcPr>
            <w:tcW w:type="dxa" w:w="9026"/>
            <w:gridSpan w:val="4"/>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A. File Integrity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File opens without errors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No encoding errors, no truncation, no corrupted rows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Row count matches expected sample size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Compare n in file vs fieldwork report or client spec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3</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duplicate respondent IDs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Check unique count on ID column = total rows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4</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Column/variable count looks reasonable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Compare against questionnaire length — big discrepancies suggest missing or extra variables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5</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File encoding is correct (UTF-8 or as specified)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Check for garbled characters in open-ends, names, or accented text</w:t>
            </w:r>
          </w:p>
        </w:tc>
      </w:tr>
      <w:tr>
        <w:tc>
          <w:tcPr>
            <w:tcW w:type="dxa" w:w="9026"/>
            <w:gridSpan w:val="4"/>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B. Variable Structure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6</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Variable names are present and intelligible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No unnamed columns, no auto-generated V1/V2 names unless expected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7</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Variable types are correct (numeric, character, factor)</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Scales should be numeric not text; categories should be factors or labelled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8</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Scale variables have the expected range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e.g. 1–5, 0–10 — check min/max for out-of-range values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9</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Scale direction is consistent</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All satisfaction/agreement scales running the same way (low=negative, high=positive or vice versa)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10</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Multi-response (multi-code) variables are correctly structured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Binary indicator columns (0/1) per option, or delimited text — confirm which and that Turas config matches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11</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Open-ended / verbatim fields identified and excluded from numeric analysis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Text columns should not be fed into quantitative modules</w:t>
            </w:r>
          </w:p>
        </w:tc>
      </w:tr>
      <w:tr>
        <w:tc>
          <w:tcPr>
            <w:tcW w:type="dxa" w:w="9026"/>
            <w:gridSpan w:val="4"/>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C. Missing Values and Special Codes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12</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Missing value coding is understood and consistent</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NA, blank, -1, 99, 999 — confirm what the client uses and that Turas treats them correctly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13</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"Don’t know" / "Not applicable" / "Refused" codes identified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These may need to be excluded or recoded depending on the module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14</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numeric codes masquerading as valid responses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e.g. 99 = missing but appears in a 1–10 scale, inflating means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15</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Missingness pattern makes sense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Filtered questions should have missing values for respondents who were routed past them</w:t>
            </w:r>
          </w:p>
        </w:tc>
      </w:tr>
      <w:tr>
        <w:tc>
          <w:tcPr>
            <w:tcW w:type="dxa" w:w="9026"/>
            <w:gridSpan w:val="4"/>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D. Labels and Metadata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16</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Value labels match the questionnaire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Spot-check: do the category labels in the data correspond to the answer options in the questionnaire?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17</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Variable labels / question text available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Either embedded in the data or in a separate codebook — Turas needs these for report labelling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18</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Banner / cross-break variables have correct categories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Demographics, segments, waves — check category labels and counts</w:t>
            </w:r>
          </w:p>
        </w:tc>
      </w:tr>
      <w:tr>
        <w:tc>
          <w:tcPr>
            <w:tcW w:type="dxa" w:w="9026"/>
            <w:gridSpan w:val="4"/>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E. Weighting (if applicable)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19</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Weight variable present if expected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Confirm column name with client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20</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Weights sum approximately to the sample size (or as designed)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Sum of weights should ≈ n for standard rim weights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21</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extreme weights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Check min/max — weights below 0.2 or above 5.0 warrant review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22</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If Turas is generating weights: target proportions received and verified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Population targets from client or published source — document the source</w:t>
            </w:r>
          </w:p>
        </w:tc>
      </w:tr>
      <w:tr>
        <w:tc>
          <w:tcPr>
            <w:tcW w:type="dxa" w:w="9026"/>
            <w:gridSpan w:val="4"/>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F. Module-Specific Readiness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23</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Dependent variable(s) for Key Driver / Catdriver identified and checked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Correct scale, sufficient variance, no floor/ceiling effect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24</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Segmentation variables selected and reviewed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Appropriate type (attitudinal, behavioural), no excessive missingness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25</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Conjoint / MaxDiff design matrix present and validated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Matches the experimental design from the questionnaire programming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26</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Tracker: wave variable identified and wave labels correct</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Consistent coding across waves; base sizes per wave are reportable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27</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Pricing variables identified with correct structure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Price points, purchase intent, format matches module expectations</w:t>
            </w:r>
          </w:p>
        </w:tc>
      </w:tr>
      <w:tr>
        <w:tc>
          <w:tcPr>
            <w:tcW w:type="dxa" w:w="9026"/>
            <w:gridSpan w:val="4"/>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G. Final Sanity Checks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28</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Quick frequency run on 2–3 key variables matches expectations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Spot-check totals against fieldwork report or topline if available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29</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Cross-tab base sizes are reportable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No critical subgroups below minimum reporting threshold (typically n=30)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30</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Turas config file reviewed and correct</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Module selection, variable mappings, output labels, sampling method meta tag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color w:val="666666"/>
                <w:sz w:val="20"/>
                <w:szCs w:val="20"/>
              </w:rPr>
              <w:t xml:space="preserve">31</w:t>
            </w:r>
          </w:p>
        </w:tc>
        <w:tc>
          <w:tcPr>
            <w:tcW w:type="dxa" w:w="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sz w:val="28"/>
                <w:szCs w:val="28"/>
              </w:rPr>
              <w:t xml:space="preserv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Any data issues documented and communicated to client/analyst</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55555"/>
                <w:sz w:val="18"/>
                <w:szCs w:val="18"/>
              </w:rPr>
              <w:t xml:space="preserve">If issues found: what was the issue, what action was taken, who was informed</w:t>
            </w:r>
          </w:p>
        </w:tc>
      </w:tr>
    </w:tbl>
    <w:p>
      <w:pPr>
        <w:pStyle w:val="Body"/>
      </w:pPr>
    </w:p>
    <w:p>
      <w:pPr>
        <w:pStyle w:val="Body"/>
      </w:pPr>
    </w:p>
    <w:p>
      <w:pPr>
        <w:pStyle w:val="Heading1"/>
      </w:pPr>
      <w:r>
        <w:t xml:space="preserve">Sign-Off</w:t>
      </w:r>
    </w:p>
    <w:p>
      <w:pPr>
        <w:pStyle w:val="Body"/>
      </w:pPr>
      <w:r>
        <w:t xml:space="preserve">By signing below, the analyst confirms that the data has been loaded into Turas and the checks above have been completed. Any issues identified have been documented and either resolved or accepted with the client’s knowledge.</w:t>
      </w:r>
    </w:p>
    <w:p>
      <w:pPr>
        <w:pStyle w:val="Body"/>
      </w:pPr>
    </w:p>
    <w:p>
      <w:pPr>
        <w:pStyle w:val="Body"/>
      </w:pPr>
      <w:r>
        <w:rPr>
          <w:b/>
          <w:bCs/>
        </w:rPr>
        <w:t xml:space="preserve">All checks passed:  </w:t>
      </w:r>
      <w:r>
        <w:rPr>
          <w:sz w:val="24"/>
          <w:szCs w:val="24"/>
        </w:rPr>
        <w:t xml:space="preserve">☐ Yes     ☐ No (see notes)</w:t>
      </w:r>
    </w:p>
    <w:p>
      <w:pPr>
        <w:pStyle w:val="Body"/>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Analyst name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Signature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Date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sz w:val="20"/>
                <w:szCs w:val="20"/>
              </w:rPr>
              <w:t xml:space="preserve">Notes / exceptions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w:r>
          </w:p>
        </w:tc>
      </w:tr>
    </w:tbl>
    <w:p>
      <w:pPr>
        <w:pStyle w:val="Body"/>
      </w:pPr>
    </w:p>
    <w:p>
      <w:pPr>
        <w:pStyle w:val="Body"/>
      </w:pPr>
    </w:p>
    <w:p>
      <w:pPr>
        <w:pStyle w:val="Heading2"/>
      </w:pPr>
      <w:r>
        <w:t xml:space="preserve">Guidance Notes</w:t>
      </w:r>
    </w:p>
    <w:p>
      <w:pPr>
        <w:pStyle w:val="Body"/>
      </w:pPr>
      <w:r>
        <w:rPr>
          <w:b/>
          <w:bCs/>
        </w:rPr>
        <w:t xml:space="preserve">Not all checks will apply to every project. </w:t>
      </w:r>
      <w:r>
        <w:t xml:space="preserve">If a check is not applicable (e.g. no weighting, no conjoint module), mark it N/A rather than leaving it blank. The purpose is to confirm you looked, not to force every box to be ticked.</w:t>
      </w:r>
    </w:p>
    <w:p>
      <w:pPr>
        <w:pStyle w:val="Body"/>
      </w:pPr>
      <w:r>
        <w:rPr>
          <w:b/>
          <w:bCs/>
        </w:rPr>
        <w:t xml:space="preserve">This checklist is an internal quality assurance tool. </w:t>
      </w:r>
      <w:r>
        <w:t xml:space="preserve">It supports the liability framework in the Turas Terms of Service by documenting that due diligence was performed at the point of data loading. It does not replace the client’s responsibility for data quality or the analyst’s responsibility for interpretation.</w:t>
      </w:r>
    </w:p>
    <w:p>
      <w:pPr>
        <w:pStyle w:val="Body"/>
      </w:pPr>
      <w:r>
        <w:rPr>
          <w:b/>
          <w:bCs/>
        </w:rPr>
        <w:t xml:space="preserve">File this checklist with the project records. </w:t>
      </w:r>
      <w:r>
        <w:t xml:space="preserve">In the event of a query about the analysis, this document provides evidence of the data state at the point it entered Turas.</w:t>
      </w:r>
    </w:p>
    <w:p>
      <w:pPr>
        <w:pStyle w:val="Body"/>
      </w:pPr>
      <w:r>
        <w:rPr>
          <w:b/>
          <w:bCs/>
        </w:rPr>
        <w:t xml:space="preserve">For white-label projects: </w:t>
      </w:r>
      <w:r>
        <w:t xml:space="preserve">the licensee is responsible for completing this checklist or their own equivalent quality assurance process before submitting data for Turas processing. If the licensee provides data without documented QA, the data is accepted as-is and any issues arising from data quality are the licensee’s responsibility.</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Turas Analytics — Data Loading QA Checklist — The Research LampPost (Pty)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6"/>
        <w:szCs w:val="16"/>
      </w:rPr>
      <w:t xml:space="preserve">The Research LampPost</w:t>
    </w:r>
    <w:r>
      <w:ptab w:alignment="right" w:relativeTo="margin" w:leader="none"/>
    </w:r>
    <w:r>
      <w:rPr>
        <w:rFonts w:ascii="Arial" w:cs="Arial" w:eastAsia="Arial" w:hAnsi="Arial"/>
        <w:color w:val="999999"/>
        <w:sz w:val="16"/>
        <w:szCs w:val="16"/>
      </w:rPr>
      <w:t xml:space="preserve">INTERNAL QA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 w:type="paragraph" w:styleId="Body">
    <w:name w:val="Body"/>
    <w:basedOn w:val="Normal"/>
    <w:pPr>
      <w:spacing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2026-03-21T10:01:39.552Z</dcterms:created>
  <dcterms:modified xsi:type="dcterms:W3CDTF">2026-03-21T10:01:39.553Z</dcterms:modified>
</cp:coreProperties>
</file>

<file path=docProps/custom.xml><?xml version="1.0" encoding="utf-8"?>
<Properties xmlns="http://schemas.openxmlformats.org/officeDocument/2006/custom-properties" xmlns:vt="http://schemas.openxmlformats.org/officeDocument/2006/docPropsVTypes"/>
</file>