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C2456"/>
          <w:sz w:val="40"/>
          <w:szCs w:val="40"/>
        </w:rPr>
        <w:t xml:space="preserve">Turas Pricing Framework</w:t>
      </w:r>
    </w:p>
    <w:p>
      <w:pPr>
        <w:spacing w:after="40"/>
      </w:pPr>
      <w:r>
        <w:rPr>
          <w:rFonts w:ascii="Calibri" w:cs="Calibri" w:eastAsia="Calibri" w:hAnsi="Calibri"/>
          <w:color w:val="5A6078"/>
          <w:sz w:val="22"/>
          <w:szCs w:val="22"/>
        </w:rPr>
        <w:t xml:space="preserve">Internal reference for quoting and negotiations</w:t>
      </w:r>
    </w:p>
    <w:p>
      <w:pPr>
        <w:pBdr>
          <w:bottom w:val="single" w:color="D4A843" w:sz="8" w:space="8"/>
        </w:pBdr>
        <w:spacing w:after="360"/>
      </w:pPr>
      <w:r>
        <w:rPr>
          <w:rFonts w:ascii="Calibri" w:cs="Calibri" w:eastAsia="Calibri" w:hAnsi="Calibri"/>
          <w:i/>
          <w:iCs/>
          <w:color w:val="5A6078"/>
          <w:sz w:val="18"/>
          <w:szCs w:val="18"/>
        </w:rPr>
        <w:t xml:space="preserve">March 2026 — Review quarterly</w:t>
      </w:r>
    </w:p>
    <w:p>
      <w:pPr>
        <w:pStyle w:val="Heading1"/>
      </w:pPr>
      <w:r>
        <w:t xml:space="preserve">The Pricing Logic</w:t>
      </w:r>
    </w:p>
    <w:p>
      <w:pPr>
        <w:spacing w:after="200"/>
        <w:jc w:val="left"/>
      </w:pPr>
      <w:r>
        <w:rPr>
          <w:rFonts w:ascii="Calibri" w:cs="Calibri" w:eastAsia="Calibri" w:hAnsi="Calibri"/>
          <w:b w:val="false"/>
          <w:bCs w:val="false"/>
          <w:i w:val="false"/>
          <w:iCs w:val="false"/>
          <w:color w:val="333333"/>
          <w:sz w:val="20"/>
          <w:szCs w:val="20"/>
        </w:rPr>
        <w:t xml:space="preserve">Turas pricing is driven by </w:t>
      </w:r>
      <w:r>
        <w:rPr>
          <w:rFonts w:ascii="Calibri" w:cs="Calibri" w:eastAsia="Calibri" w:hAnsi="Calibri"/>
          <w:b/>
          <w:bCs/>
          <w:i w:val="false"/>
          <w:iCs w:val="false"/>
          <w:color w:val="333333"/>
          <w:sz w:val="20"/>
          <w:szCs w:val="20"/>
        </w:rPr>
        <w:t xml:space="preserve">what you’re selling in each situation</w:t>
      </w:r>
      <w:r>
        <w:rPr>
          <w:rFonts w:ascii="Calibri" w:cs="Calibri" w:eastAsia="Calibri" w:hAnsi="Calibri"/>
          <w:b w:val="false"/>
          <w:bCs w:val="false"/>
          <w:i w:val="false"/>
          <w:iCs w:val="false"/>
          <w:color w:val="333333"/>
          <w:sz w:val="20"/>
          <w:szCs w:val="20"/>
        </w:rPr>
        <w:t xml:space="preserve">, not by module count or hours worked. There are three distinct transaction types, each with different pricing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Transaction</w:t>
            </w:r>
          </w:p>
        </w:tc>
        <w:tc>
          <w:tcPr>
            <w:tcW w:type="dxa" w:w="3613"/>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What You’re Selling</w:t>
            </w:r>
          </w:p>
        </w:tc>
        <w:tc>
          <w:tcPr>
            <w:tcW w:type="dxa" w:w="3613"/>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Pricing Anchor</w:t>
            </w:r>
          </w:p>
        </w:tc>
      </w:tr>
      <w:tr>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8"/>
                <w:szCs w:val="18"/>
              </w:rPr>
              <w:t xml:space="preserve">Direct to Client</w:t>
            </w:r>
          </w:p>
        </w:tc>
        <w:tc>
          <w:tcPr>
            <w:tcW w:type="dxa" w:w="36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Your analytical judgement + Turas output. Full involvement from data prep through interpretation. Client is buying your thinking, delivered as an interactive report.</w:t>
            </w:r>
          </w:p>
        </w:tc>
        <w:tc>
          <w:tcPr>
            <w:tcW w:type="dxa" w:w="36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Project value to the client. A brand health study informing portfolio decisions is worth more than a straightforward CSAT tabulation, even if modules are similar.</w:t>
            </w:r>
          </w:p>
        </w:tc>
      </w:tr>
      <w:tr>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8"/>
                <w:szCs w:val="18"/>
              </w:rPr>
              <w:t xml:space="preserve">White-Label Partner</w:t>
            </w:r>
          </w:p>
        </w:tc>
        <w:tc>
          <w:tcPr>
            <w:tcW w:type="dxa" w:w="36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Analytical infrastructure. Partner owns the client, strategy, and interpretation. You receive data + brief, deliver a branded interactive report.</w:t>
            </w:r>
          </w:p>
        </w:tc>
        <w:tc>
          <w:tcPr>
            <w:tcW w:type="dxa" w:w="36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What lets the partner mark up profitably. They need to charge their client 1.8–2.5x what they pay you. Your price = 40–55% of end-client value.</w:t>
            </w:r>
          </w:p>
        </w:tc>
      </w:tr>
      <w:tr>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8"/>
                <w:szCs w:val="18"/>
              </w:rPr>
              <w:t xml:space="preserve">Proof of Concept</w:t>
            </w:r>
          </w:p>
        </w:tc>
        <w:tc>
          <w:tcPr>
            <w:tcW w:type="dxa" w:w="36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A conversion tool. Re-run old data through Turas so the client sees their own data come alive. Seeds future paid work.</w:t>
            </w:r>
          </w:p>
        </w:tc>
        <w:tc>
          <w:tcPr>
            <w:tcW w:type="dxa" w:w="36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Token amount that signals value (R5K–R8K for Tabs re-run). Not free — free work isn’t valued. Just low enough that the decision is trivial.</w:t>
            </w:r>
          </w:p>
        </w:tc>
      </w:tr>
    </w:tbl>
    <w:p>
      <w:pPr>
        <w:spacing w:before="240" w:after="200"/>
      </w:pPr>
      <w:r>
        <w:rPr>
          <w:rFonts w:ascii="Calibri" w:cs="Calibri" w:eastAsia="Calibri" w:hAnsi="Calibri"/>
          <w:b/>
          <w:bCs/>
          <w:color w:val="1C2456"/>
          <w:sz w:val="20"/>
          <w:szCs w:val="20"/>
        </w:rPr>
        <w:t xml:space="preserve">Key principle: </w:t>
      </w:r>
      <w:r>
        <w:rPr>
          <w:rFonts w:ascii="Calibri" w:cs="Calibri" w:eastAsia="Calibri" w:hAnsi="Calibri"/>
          <w:sz w:val="20"/>
          <w:szCs w:val="20"/>
        </w:rPr>
        <w:t xml:space="preserve">Price the outcome, not the hours. Clients buy a permanent, interactive analytics report — not analyst time. The “pay per project, no subscription” positioning is a competitive advantage. Protect it.</w:t>
      </w:r>
    </w:p>
    <w:p>
      <w:pPr>
        <w:pStyle w:val="Heading1"/>
      </w:pPr>
      <w:r>
        <w:t xml:space="preserve">Module Pricing — South African Clients (ZAR)</w:t>
      </w:r>
    </w:p>
    <w:p>
      <w:pPr>
        <w:spacing w:after="200"/>
        <w:jc w:val="left"/>
      </w:pPr>
      <w:r>
        <w:rPr>
          <w:rFonts w:ascii="Calibri" w:cs="Calibri" w:eastAsia="Calibri" w:hAnsi="Calibri"/>
          <w:b w:val="false"/>
          <w:bCs w:val="false"/>
          <w:i w:val="false"/>
          <w:iCs w:val="false"/>
          <w:color w:val="333333"/>
          <w:sz w:val="20"/>
          <w:szCs w:val="20"/>
        </w:rPr>
        <w:t xml:space="preserve">These are reference ranges for direct-to-client work on a reasonably clean dataset. Adjust upward for messy data, large sample sizes, or complex banner structures. Adjust downward 30–40% for white-label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26"/>
        <w:gridCol w:w="1800"/>
      </w:tblGrid>
      <w:tr>
        <w:tc>
          <w:tcPr>
            <w:tcW w:type="dxa" w:w="2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Module / Bundle</w:t>
            </w:r>
          </w:p>
        </w:tc>
        <w:tc>
          <w:tcPr>
            <w:tcW w:type="dxa" w:w="24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Includes</w:t>
            </w:r>
          </w:p>
        </w:tc>
        <w:tc>
          <w:tcPr>
            <w:tcW w:type="dxa" w:w="2026"/>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Direct Client</w:t>
            </w:r>
          </w:p>
        </w:tc>
        <w:tc>
          <w:tcPr>
            <w:tcW w:type="dxa" w:w="1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White-Label</w:t>
            </w:r>
          </w:p>
        </w:tc>
      </w:tr>
      <w:tr>
        <w:tc>
          <w:tcPr>
            <w:tcW w:type="dxa" w:w="2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8"/>
                <w:szCs w:val="18"/>
              </w:rPr>
              <w:t xml:space="preserve">Base Report</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Tabs + Weighting + Confidence</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R25,000 – R40,000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R15,000 – R25,000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 Tracker (per wave)</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Wave comparison module</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R8,000 – R15,000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R5,000 – R10,000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 Key Driver</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Standard or Categorical</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R10,000 – R20,000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R7,000 – R14,000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 Segment</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Statistical clustering</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R15,000 – R30,000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R10,000 – R20,000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 MaxDiff</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Preference ranking</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R12,000 – R25,000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R8,000 – R17,000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 Pricing</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VW / Gabor-Granger / Monadic</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R12,000 – R25,000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R8,000 – R17,000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 Conjoint (CBC)</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Choice model + simulator</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R25,000 – R55,000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 R17,000 – R38,000</w:t>
            </w:r>
          </w:p>
        </w:tc>
      </w:tr>
      <w:tr>
        <w:tc>
          <w:tcPr>
            <w:tcW w:type="dxa" w:w="2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8"/>
                <w:szCs w:val="18"/>
              </w:rPr>
              <w:t xml:space="preserve">Full Suite</w:t>
            </w:r>
          </w:p>
        </w:tc>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All modules combined</w:t>
            </w:r>
          </w:p>
        </w:tc>
        <w:tc>
          <w:tcPr>
            <w:tcW w:type="dxa" w:w="2026"/>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R60,000 – R150,000</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R40,000 – R100,000</w:t>
            </w:r>
          </w:p>
        </w:tc>
      </w:tr>
    </w:tbl>
    <w:p>
      <w:pPr>
        <w:spacing w:before="160" w:after="80"/>
      </w:pPr>
      <w:r>
        <w:rPr>
          <w:rFonts w:ascii="Calibri" w:cs="Calibri" w:eastAsia="Calibri" w:hAnsi="Calibri"/>
          <w:b/>
          <w:bCs/>
          <w:color w:val="1C2456"/>
          <w:sz w:val="19"/>
          <w:szCs w:val="19"/>
        </w:rPr>
        <w:t xml:space="preserve">Proof-of-concept re-runs (existing data, Tabs only):</w:t>
      </w:r>
    </w:p>
    <w:p>
      <w:pPr>
        <w:pStyle w:val="ListParagraph"/>
        <w:numPr>
          <w:ilvl w:val="0"/>
          <w:numId w:val="2"/>
        </w:numPr>
        <w:spacing w:after="40"/>
      </w:pPr>
      <w:r>
        <w:rPr>
          <w:rFonts w:ascii="Calibri" w:cs="Calibri" w:eastAsia="Calibri" w:hAnsi="Calibri"/>
          <w:sz w:val="19"/>
          <w:szCs w:val="19"/>
        </w:rPr>
        <w:t xml:space="preserve">R5,000 – R8,000 on clean data you’ve worked with before</w:t>
      </w:r>
    </w:p>
    <w:p>
      <w:pPr>
        <w:pStyle w:val="ListParagraph"/>
        <w:numPr>
          <w:ilvl w:val="0"/>
          <w:numId w:val="2"/>
        </w:numPr>
        <w:spacing w:after="40"/>
      </w:pPr>
      <w:r>
        <w:rPr>
          <w:rFonts w:ascii="Calibri" w:cs="Calibri" w:eastAsia="Calibri" w:hAnsi="Calibri"/>
          <w:sz w:val="19"/>
          <w:szCs w:val="19"/>
        </w:rPr>
        <w:t xml:space="preserve">R0 only where there is a clear, near-term path to a paid project (e.g. SACAP: old study free → this year’s study paid)</w:t>
      </w:r>
    </w:p>
    <w:p>
      <w:pPr>
        <w:pStyle w:val="ListParagraph"/>
        <w:numPr>
          <w:ilvl w:val="0"/>
          <w:numId w:val="2"/>
        </w:numPr>
        <w:spacing w:after="200"/>
      </w:pPr>
      <w:r>
        <w:rPr>
          <w:rFonts w:ascii="Calibri" w:cs="Calibri" w:eastAsia="Calibri" w:hAnsi="Calibri"/>
          <w:sz w:val="19"/>
          <w:szCs w:val="19"/>
        </w:rPr>
        <w:t xml:space="preserve">Never more than one free re-run per client. The demonstration is a one-time investment.</w:t>
      </w:r>
    </w:p>
    <w:p>
      <w:pPr>
        <w:pStyle w:val="Heading1"/>
      </w:pPr>
      <w:r>
        <w:t xml:space="preserve">Ancillary Services (ZAR)</w:t>
      </w:r>
    </w:p>
    <w:p>
      <w:pPr>
        <w:spacing w:after="200"/>
        <w:jc w:val="left"/>
      </w:pPr>
      <w:r>
        <w:rPr>
          <w:rFonts w:ascii="Calibri" w:cs="Calibri" w:eastAsia="Calibri" w:hAnsi="Calibri"/>
          <w:b w:val="false"/>
          <w:bCs w:val="false"/>
          <w:i w:val="false"/>
          <w:iCs w:val="false"/>
          <w:color w:val="333333"/>
          <w:sz w:val="20"/>
          <w:szCs w:val="20"/>
        </w:rPr>
        <w:t xml:space="preserve">These sit around the core Turas modules. Quoting them as separate line items protects your analytics pricing from scope creep and makes the overall quote legible — the client can see exactly what they’re paying for.</w:t>
      </w:r>
    </w:p>
    <w:p>
      <w:pPr>
        <w:pStyle w:val="Heading2"/>
      </w:pPr>
      <w:r>
        <w:t xml:space="preserve">Data Preparation &amp; Cleaning</w:t>
      </w:r>
    </w:p>
    <w:p>
      <w:pPr>
        <w:spacing w:after="160"/>
        <w:jc w:val="left"/>
      </w:pPr>
      <w:r>
        <w:rPr>
          <w:rFonts w:ascii="Calibri" w:cs="Calibri" w:eastAsia="Calibri" w:hAnsi="Calibri"/>
          <w:b w:val="false"/>
          <w:bCs w:val="false"/>
          <w:i w:val="false"/>
          <w:iCs w:val="false"/>
          <w:color w:val="333333"/>
          <w:sz w:val="19"/>
          <w:szCs w:val="19"/>
        </w:rPr>
        <w:t xml:space="preserve">This is the most variable cost on any project. Always assess the data before committing to a fixed price. If you can’t see the data before quoting, quote a range and specify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c>
          <w:tcPr>
            <w:tcW w:type="dxa" w:w="24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Level</w:t>
            </w:r>
          </w:p>
        </w:tc>
        <w:tc>
          <w:tcPr>
            <w:tcW w:type="dxa" w:w="3826"/>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What’s Involved</w:t>
            </w:r>
          </w:p>
        </w:tc>
        <w:tc>
          <w:tcPr>
            <w:tcW w:type="dxa" w:w="2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ZAR Range</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Light</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Clean SPSS/CSV with labels. Minor fixes: recoding a few variables, relabelling, checking skip logic, adding NET codes.</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R3,000 – R6,000</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Moderate</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Derived variables, scale constructions, merging multiple data sources, recoding open-ends into categories, restructuring for Turas ingestion.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R6,000 – R15,000</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Heavy</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Messy raw exports (Excel with merged cells, no codebook), extensive cleaning, complex restructuring, deduplication, multi-file reconciliation.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R15,000 – R30,000</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Specialist</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Conjoint/MaxDiff design file creation, experimental design setup, simulator configuration. Requires methodological input, not just data wrangling.</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R8,000 – R15,000</w:t>
            </w:r>
          </w:p>
        </w:tc>
      </w:tr>
    </w:tbl>
    <w:p>
      <w:pPr>
        <w:spacing w:before="120" w:after="60"/>
      </w:pPr>
      <w:r>
        <w:rPr>
          <w:rFonts w:ascii="Calibri" w:cs="Calibri" w:eastAsia="Calibri" w:hAnsi="Calibri"/>
          <w:b/>
          <w:bCs/>
          <w:color w:val="1C2456"/>
          <w:sz w:val="19"/>
          <w:szCs w:val="19"/>
        </w:rPr>
        <w:t xml:space="preserve">Quoting guidance:</w:t>
      </w:r>
    </w:p>
    <w:p>
      <w:pPr>
        <w:pStyle w:val="ListParagraph"/>
        <w:numPr>
          <w:ilvl w:val="0"/>
          <w:numId w:val="2"/>
        </w:numPr>
        <w:spacing w:after="40"/>
      </w:pPr>
      <w:r>
        <w:rPr>
          <w:rFonts w:ascii="Calibri" w:cs="Calibri" w:eastAsia="Calibri" w:hAnsi="Calibri"/>
          <w:sz w:val="18"/>
          <w:szCs w:val="18"/>
        </w:rPr>
        <w:t xml:space="preserve">If you’ve seen the data: quote a fixed price within the range.</w:t>
      </w:r>
    </w:p>
    <w:p>
      <w:pPr>
        <w:pStyle w:val="ListParagraph"/>
        <w:numPr>
          <w:ilvl w:val="0"/>
          <w:numId w:val="2"/>
        </w:numPr>
        <w:spacing w:after="40"/>
      </w:pPr>
      <w:r>
        <w:rPr>
          <w:rFonts w:ascii="Calibri" w:cs="Calibri" w:eastAsia="Calibri" w:hAnsi="Calibri"/>
          <w:sz w:val="18"/>
          <w:szCs w:val="18"/>
        </w:rPr>
        <w:t xml:space="preserve">If you haven’t seen the data: quote Light prep as the base assumption, with a note that complex data may attract additional prep costs of up to RX. Client can then choose to clean their own data to the spec you provide.</w:t>
      </w:r>
    </w:p>
    <w:p>
      <w:pPr>
        <w:pStyle w:val="ListParagraph"/>
        <w:numPr>
          <w:ilvl w:val="0"/>
          <w:numId w:val="2"/>
        </w:numPr>
        <w:spacing w:after="40"/>
      </w:pPr>
      <w:r>
        <w:rPr>
          <w:rFonts w:ascii="Calibri" w:cs="Calibri" w:eastAsia="Calibri" w:hAnsi="Calibri"/>
          <w:sz w:val="18"/>
          <w:szCs w:val="18"/>
        </w:rPr>
        <w:t xml:space="preserve">For white-label partners: include Light prep in the base rate card. Moderate/Heavy quoted per project. This keeps the partner’s standard quoting simple.</w:t>
      </w:r>
    </w:p>
    <w:p>
      <w:pPr>
        <w:pStyle w:val="ListParagraph"/>
        <w:numPr>
          <w:ilvl w:val="0"/>
          <w:numId w:val="2"/>
        </w:numPr>
        <w:spacing w:after="200"/>
      </w:pPr>
      <w:r>
        <w:rPr>
          <w:rFonts w:ascii="Calibri" w:cs="Calibri" w:eastAsia="Calibri" w:hAnsi="Calibri"/>
          <w:sz w:val="18"/>
          <w:szCs w:val="18"/>
        </w:rPr>
        <w:t xml:space="preserve">For proof-of-concept re-runs: you’ve usually already prepped this data before. Data prep should be minimal or nil.</w:t>
      </w:r>
    </w:p>
    <w:p>
      <w:pPr>
        <w:pStyle w:val="Heading2"/>
      </w:pPr>
      <w:r>
        <w:t xml:space="preserve">Interpretation Support</w:t>
      </w:r>
    </w:p>
    <w:p>
      <w:pPr>
        <w:spacing w:after="160"/>
        <w:jc w:val="left"/>
      </w:pPr>
      <w:r>
        <w:rPr>
          <w:rFonts w:ascii="Calibri" w:cs="Calibri" w:eastAsia="Calibri" w:hAnsi="Calibri"/>
          <w:b w:val="false"/>
          <w:bCs w:val="false"/>
          <w:i w:val="false"/>
          <w:iCs w:val="false"/>
          <w:color w:val="333333"/>
          <w:sz w:val="19"/>
          <w:szCs w:val="19"/>
        </w:rPr>
        <w:t xml:space="preserve">The base Turas deliverable includes plain-language statistical callouts within the report and an initial set of pinned views. Interpretation support beyond that is a separate service — and it’s where your experience commands the highest premium per unit of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c>
          <w:tcPr>
            <w:tcW w:type="dxa" w:w="24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Service</w:t>
            </w:r>
          </w:p>
        </w:tc>
        <w:tc>
          <w:tcPr>
            <w:tcW w:type="dxa" w:w="3826"/>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What’s Delivered</w:t>
            </w:r>
          </w:p>
        </w:tc>
        <w:tc>
          <w:tcPr>
            <w:tcW w:type="dxa" w:w="2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ZAR Range</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Report Walkthrough</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1–2 hour video call walking the client through the interactive report, explaining key findings and how to use the explore/pin/present workflow.</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R3,000 – R6,000</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Executive Summary</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Written 2–4 page summary of key findings, structured around the client’s business questions. Delivered as a document or pinned narrative within the report.</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R8,000 – R18,000</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Full Interpretive Report</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Comprehensive written report with analysis, implications, and actionable recommendations. Board-ready or suitable for strategic planning input.</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R18,000 – R40,000</w:t>
            </w:r>
          </w:p>
        </w:tc>
      </w:tr>
      <w:tr>
        <w:tc>
          <w:tcPr>
            <w:tcW w:type="dxa" w:w="24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Stakeholder Presentation</w:t>
            </w:r>
          </w:p>
        </w:tc>
        <w:tc>
          <w:tcPr>
            <w:tcW w:type="dxa" w:w="3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Preparation of a presentation deck plus live delivery to the client’s team or leadership. Includes Q&amp;A and discussion facilitation.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R12,000 – R25,000</w:t>
            </w:r>
          </w:p>
        </w:tc>
      </w:tr>
    </w:tbl>
    <w:p>
      <w:pPr>
        <w:spacing w:before="120" w:after="200"/>
      </w:pPr>
      <w:r>
        <w:rPr>
          <w:rFonts w:ascii="Calibri" w:cs="Calibri" w:eastAsia="Calibri" w:hAnsi="Calibri"/>
          <w:i/>
          <w:iCs/>
          <w:color w:val="5A6078"/>
          <w:sz w:val="19"/>
          <w:szCs w:val="19"/>
        </w:rPr>
        <w:t xml:space="preserve">For direct-to-client work, a report walkthrough should be standard on every project — build it into the analytics quote rather than itemising it separately. It’s the handover that makes the client feel supported, and it’s where you plant the seed for the next project. For white-label partners, interpretation is their job; don’t offer it unless explicitly asked.</w:t>
      </w:r>
    </w:p>
    <w:p>
      <w:pPr>
        <w:pStyle w:val="Heading2"/>
      </w:pPr>
      <w:r>
        <w:t xml:space="preserve">Questionnaire Design &amp; Analytical Planning</w:t>
      </w:r>
    </w:p>
    <w:p>
      <w:pPr>
        <w:spacing w:after="160"/>
        <w:jc w:val="left"/>
      </w:pPr>
      <w:r>
        <w:rPr>
          <w:rFonts w:ascii="Calibri" w:cs="Calibri" w:eastAsia="Calibri" w:hAnsi="Calibri"/>
          <w:b w:val="false"/>
          <w:bCs w:val="false"/>
          <w:i w:val="false"/>
          <w:iCs w:val="false"/>
          <w:color w:val="333333"/>
          <w:sz w:val="19"/>
          <w:szCs w:val="19"/>
        </w:rPr>
        <w:t xml:space="preserve">Upstream of the analytics entirely. This is where 30 years of experience is most concentrated — getting the instrument right so the analysis produces clear, actionable answers. Quote separately when the scope includes questionnaire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c>
          <w:tcPr>
            <w:tcW w:type="dxa" w:w="26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Service</w:t>
            </w:r>
          </w:p>
        </w:tc>
        <w:tc>
          <w:tcPr>
            <w:tcW w:type="dxa" w:w="3626"/>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What’s Delivered</w:t>
            </w:r>
          </w:p>
        </w:tc>
        <w:tc>
          <w:tcPr>
            <w:tcW w:type="dxa" w:w="2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ZAR Range</w:t>
            </w:r>
          </w:p>
        </w:tc>
      </w:tr>
      <w:tr>
        <w:tc>
          <w:tcPr>
            <w:tcW w:type="dxa" w:w="26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Questionnaire Review</w:t>
            </w:r>
          </w:p>
        </w:tc>
        <w:tc>
          <w:tcPr>
            <w:tcW w:type="dxa" w:w="3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Review an existing questionnaire for analytical fitness: scale design, skip logic, question structure, coding implications. Written feedback with recommended changes.</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R4,000 – R8,000</w:t>
            </w:r>
          </w:p>
        </w:tc>
      </w:tr>
      <w:tr>
        <w:tc>
          <w:tcPr>
            <w:tcW w:type="dxa" w:w="26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Questionnaire Co-Design</w:t>
            </w:r>
          </w:p>
        </w:tc>
        <w:tc>
          <w:tcPr>
            <w:tcW w:type="dxa" w:w="3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Collaborative design of the full instrument. Includes analytical planning: which modules will be used, how questions map to analytical outputs, sample structure requirements.</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R10,000 – R25,000</w:t>
            </w:r>
          </w:p>
        </w:tc>
      </w:tr>
      <w:tr>
        <w:tc>
          <w:tcPr>
            <w:tcW w:type="dxa" w:w="26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Specialist Design</w:t>
            </w:r>
          </w:p>
        </w:tc>
        <w:tc>
          <w:tcPr>
            <w:tcW w:type="dxa" w:w="3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Conjoint attribute/level design, MaxDiff item list development, pricing research design (including monadic cell structure), or experimental design for choice modelling.</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R8,000 – R20,000</w:t>
            </w:r>
          </w:p>
        </w:tc>
      </w:tr>
      <w:tr>
        <w:tc>
          <w:tcPr>
            <w:tcW w:type="dxa" w:w="26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7"/>
                <w:szCs w:val="17"/>
              </w:rPr>
              <w:t xml:space="preserve">Analytical Planning Only</w:t>
            </w:r>
          </w:p>
        </w:tc>
        <w:tc>
          <w:tcPr>
            <w:tcW w:type="dxa" w:w="3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Define the analytical approach, module selection, sample requirements, and banner structure. No questionnaire involvement — just the analytical blueprint.</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R3,000 – R8,000</w:t>
            </w:r>
          </w:p>
        </w:tc>
      </w:tr>
    </w:tbl>
    <w:p>
      <w:pPr>
        <w:spacing w:before="160" w:after="200"/>
      </w:pPr>
      <w:r>
        <w:rPr>
          <w:rFonts w:ascii="Calibri" w:cs="Calibri" w:eastAsia="Calibri" w:hAnsi="Calibri"/>
          <w:i/>
          <w:iCs/>
          <w:color w:val="5A6078"/>
          <w:sz w:val="19"/>
          <w:szCs w:val="19"/>
        </w:rPr>
        <w:t xml:space="preserve">For white-label partners: questionnaire review is a natural upsell. The partner may be designing the instrument themselves but wants analytical input to ensure the data will work in Turas. Position this as quality assurance, not criticism.</w:t>
      </w:r>
    </w:p>
    <w:p>
      <w:pPr>
        <w:pStyle w:val="Heading2"/>
      </w:pPr>
      <w:r>
        <w:t xml:space="preserve">Project Add-Ons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26"/>
        <w:gridCol w:w="2600"/>
      </w:tblGrid>
      <w:tr>
        <w:tc>
          <w:tcPr>
            <w:tcW w:type="dxa" w:w="32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Item</w:t>
            </w:r>
          </w:p>
        </w:tc>
        <w:tc>
          <w:tcPr>
            <w:tcW w:type="dxa" w:w="3226"/>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Detail</w:t>
            </w:r>
          </w:p>
        </w:tc>
        <w:tc>
          <w:tcPr>
            <w:tcW w:type="dxa" w:w="26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ZAR Range</w:t>
            </w:r>
          </w:p>
        </w:tc>
      </w:tr>
      <w:tr>
        <w:tc>
          <w:tcPr>
            <w:tcW w:type="dxa" w:w="32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Additional banner variables</w:t>
            </w:r>
          </w:p>
        </w:tc>
        <w:tc>
          <w:tcPr>
            <w:tcW w:type="dxa" w:w="3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Beyond the set included in the base quote. Per variable or in batches of 5.</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R800 – R1,500 each</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Re-run after data correction</w:t>
            </w:r>
          </w:p>
        </w:tc>
        <w:tc>
          <w:tcPr>
            <w:tcW w:type="dxa" w:w="3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Client provides corrected/updated data after initial delivery. Full re-processing of affected modules.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R3,000 – R8,000</w:t>
            </w:r>
          </w:p>
        </w:tc>
      </w:tr>
      <w:tr>
        <w:tc>
          <w:tcPr>
            <w:tcW w:type="dxa" w:w="32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PowerPoint export</w:t>
            </w:r>
          </w:p>
        </w:tc>
        <w:tc>
          <w:tcPr>
            <w:tcW w:type="dxa" w:w="3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Export of pinned views and key charts into a formatted PowerPoint deck. Includes layout and labelling, not full interpretation.</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R3,000 – R6,000</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Report training session</w:t>
            </w:r>
          </w:p>
        </w:tc>
        <w:tc>
          <w:tcPr>
            <w:tcW w:type="dxa" w:w="3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1-hour video session training the client’s team on navigating the Turas report: filtering, explore/pin/present, Excel export.</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R2,000 – R4,000</w:t>
            </w:r>
          </w:p>
        </w:tc>
      </w:tr>
      <w:tr>
        <w:tc>
          <w:tcPr>
            <w:tcW w:type="dxa" w:w="32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Open-end coding</w:t>
            </w:r>
          </w:p>
        </w:tc>
        <w:tc>
          <w:tcPr>
            <w:tcW w:type="dxa" w:w="3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Thematic coding of open-ended responses into analysable categories. Price depends heavily on volume and complexity.</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R4,000 – R15,000</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Custom weighting design</w:t>
            </w:r>
          </w:p>
        </w:tc>
        <w:tc>
          <w:tcPr>
            <w:tcW w:type="dxa" w:w="3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Developing weighting targets from external data (census, industry stats) when the client doesn’t provide them. Includes sourcing and rim weighting.</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R3,000 – R8,000</w:t>
            </w:r>
          </w:p>
        </w:tc>
      </w:tr>
    </w:tbl>
    <w:p>
      <w:pPr>
        <w:spacing w:before="160" w:after="80"/>
      </w:pPr>
      <w:r>
        <w:rPr>
          <w:rFonts w:ascii="Calibri" w:cs="Calibri" w:eastAsia="Calibri" w:hAnsi="Calibri"/>
          <w:b/>
          <w:bCs/>
          <w:color w:val="1C2456"/>
          <w:sz w:val="19"/>
          <w:szCs w:val="19"/>
        </w:rPr>
        <w:t xml:space="preserve">Bundling guidance:</w:t>
      </w:r>
    </w:p>
    <w:p>
      <w:pPr>
        <w:pStyle w:val="ListParagraph"/>
        <w:numPr>
          <w:ilvl w:val="0"/>
          <w:numId w:val="2"/>
        </w:numPr>
        <w:spacing w:after="40"/>
      </w:pPr>
      <w:r>
        <w:rPr>
          <w:rFonts w:ascii="Calibri" w:cs="Calibri" w:eastAsia="Calibri" w:hAnsi="Calibri"/>
          <w:sz w:val="18"/>
          <w:szCs w:val="18"/>
        </w:rPr>
        <w:t xml:space="preserve">For full-service direct projects, bundle the walkthrough and light data prep into the analytics quote. Itemising every small thing makes the quote feel nickel-and-dime.</w:t>
      </w:r>
    </w:p>
    <w:p>
      <w:pPr>
        <w:pStyle w:val="ListParagraph"/>
        <w:numPr>
          <w:ilvl w:val="0"/>
          <w:numId w:val="2"/>
        </w:numPr>
        <w:spacing w:after="40"/>
      </w:pPr>
      <w:r>
        <w:rPr>
          <w:rFonts w:ascii="Calibri" w:cs="Calibri" w:eastAsia="Calibri" w:hAnsi="Calibri"/>
          <w:sz w:val="18"/>
          <w:szCs w:val="18"/>
        </w:rPr>
        <w:t xml:space="preserve">For larger projects (R60K+), include a PowerPoint export as standard. It costs you little and signals a premium service.</w:t>
      </w:r>
    </w:p>
    <w:p>
      <w:pPr>
        <w:pStyle w:val="ListParagraph"/>
        <w:numPr>
          <w:ilvl w:val="0"/>
          <w:numId w:val="2"/>
        </w:numPr>
        <w:spacing w:after="40"/>
      </w:pPr>
      <w:r>
        <w:rPr>
          <w:rFonts w:ascii="Calibri" w:cs="Calibri" w:eastAsia="Calibri" w:hAnsi="Calibri"/>
          <w:sz w:val="18"/>
          <w:szCs w:val="18"/>
        </w:rPr>
        <w:t xml:space="preserve">For white-label partners, keep the add-on list visible. Partners need to know what they can upsell to their own clients.</w:t>
      </w:r>
    </w:p>
    <w:p>
      <w:pPr>
        <w:pStyle w:val="ListParagraph"/>
        <w:numPr>
          <w:ilvl w:val="0"/>
          <w:numId w:val="2"/>
        </w:numPr>
        <w:spacing w:after="200"/>
      </w:pPr>
      <w:r>
        <w:rPr>
          <w:rFonts w:ascii="Calibri" w:cs="Calibri" w:eastAsia="Calibri" w:hAnsi="Calibri"/>
          <w:sz w:val="18"/>
          <w:szCs w:val="18"/>
        </w:rPr>
        <w:t xml:space="preserve">Re-runs after data corrections: always quote this upfront in the original proposal. “One re-run included; additional re-runs at R3–8K depending on scope.” Prevents the endless-revision trap.</w:t>
      </w:r>
    </w:p>
    <w:p>
      <w:pPr>
        <w:pStyle w:val="Heading1"/>
      </w:pPr>
      <w:r>
        <w:t xml:space="preserve">International Clients (USD)</w:t>
      </w:r>
    </w:p>
    <w:p>
      <w:pPr>
        <w:spacing w:after="200"/>
        <w:jc w:val="left"/>
      </w:pPr>
      <w:r>
        <w:rPr>
          <w:rFonts w:ascii="Calibri" w:cs="Calibri" w:eastAsia="Calibri" w:hAnsi="Calibri"/>
          <w:b w:val="false"/>
          <w:bCs w:val="false"/>
          <w:i w:val="false"/>
          <w:iCs w:val="false"/>
          <w:color w:val="333333"/>
          <w:sz w:val="20"/>
          <w:szCs w:val="20"/>
        </w:rPr>
        <w:t xml:space="preserve">For UK/US/international clients, price at what the output is worth in their market, not what it costs you to produce. Your SA cost base is margin, not a discount. Invoice in USD (general) or GBP (UK).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Module / Bundle</w:t>
            </w:r>
          </w:p>
        </w:tc>
        <w:tc>
          <w:tcPr>
            <w:tcW w:type="dxa" w:w="3013"/>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USD (Direct)</w:t>
            </w:r>
          </w:p>
        </w:tc>
        <w:tc>
          <w:tcPr>
            <w:tcW w:type="dxa" w:w="3013"/>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USD (White-Label)</w:t>
            </w:r>
          </w:p>
        </w:tc>
      </w:tr>
      <w:tr>
        <w:tc>
          <w:tcPr>
            <w:tcW w:type="dxa" w:w="30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Base Report (Tabs + Weighting + Confidence)</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$2,000 – $3,500</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$1,200 – $2,200</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Base + Tracker (per wave)</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$2,800 – $4,500</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$1,800 – $3,000</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Base + Key Driver + Segment</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$3,500 – $6,500</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$2,200 – $4,500</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Base + Conjoint + Pricing</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$5,000 – $10,000</w:t>
            </w:r>
          </w:p>
        </w:tc>
        <w:tc>
          <w:tcPr>
            <w:tcW w:type="dxa" w:w="301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7"/>
                <w:szCs w:val="17"/>
              </w:rPr>
              <w:t xml:space="preserve">$3,500 – $7,000</w:t>
            </w:r>
          </w:p>
        </w:tc>
      </w:tr>
      <w:tr>
        <w:tc>
          <w:tcPr>
            <w:tcW w:type="dxa" w:w="30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1C2456"/>
                <w:sz w:val="18"/>
                <w:szCs w:val="18"/>
              </w:rPr>
              <w:t xml:space="preserve">Full Suite</w:t>
            </w:r>
          </w:p>
        </w:tc>
        <w:tc>
          <w:tcPr>
            <w:tcW w:type="dxa" w:w="3013"/>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$6,000 – $14,000</w:t>
            </w:r>
          </w:p>
        </w:tc>
        <w:tc>
          <w:tcPr>
            <w:tcW w:type="dxa" w:w="3013"/>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bCs/>
                <w:i w:val="false"/>
                <w:iCs w:val="false"/>
                <w:color w:val="333333"/>
                <w:sz w:val="17"/>
                <w:szCs w:val="17"/>
              </w:rPr>
              <w:t xml:space="preserve">$4,000 – $9,500</w:t>
            </w:r>
          </w:p>
        </w:tc>
      </w:tr>
    </w:tbl>
    <w:p>
      <w:pPr>
        <w:spacing w:before="200" w:after="200"/>
      </w:pPr>
      <w:r>
        <w:rPr>
          <w:rFonts w:ascii="Calibri" w:cs="Calibri" w:eastAsia="Calibri" w:hAnsi="Calibri"/>
          <w:i/>
          <w:iCs/>
          <w:color w:val="5A6078"/>
          <w:sz w:val="19"/>
          <w:szCs w:val="19"/>
        </w:rPr>
        <w:t xml:space="preserve">At current exchange rates (~R18.50/$1), a $3,000 base report yields ~R55,500 vs the domestic R25–40K range. This is the arbitrage. It’s real, but it only works if you deliver at international quality standards — which you do.</w:t>
      </w:r>
    </w:p>
    <w:p>
      <w:pPr>
        <w:pStyle w:val="Heading1"/>
      </w:pPr>
      <w:r>
        <w:t xml:space="preserve">Volume &amp; Repeat Work</w:t>
      </w:r>
    </w:p>
    <w:p>
      <w:pPr>
        <w:pStyle w:val="ListParagraph"/>
        <w:numPr>
          <w:ilvl w:val="0"/>
          <w:numId w:val="2"/>
        </w:numPr>
        <w:spacing w:after="60"/>
      </w:pPr>
      <w:r>
        <w:rPr>
          <w:rFonts w:ascii="Calibri" w:cs="Calibri" w:eastAsia="Calibri" w:hAnsi="Calibri"/>
          <w:sz w:val="20"/>
          <w:szCs w:val="20"/>
        </w:rPr>
        <w:t xml:space="preserve">Tracking waves: 10–15% discount from wave 2 onward. The setup cost is in wave 1; subsequent waves are largely production.</w:t>
      </w:r>
    </w:p>
    <w:p>
      <w:pPr>
        <w:pStyle w:val="ListParagraph"/>
        <w:numPr>
          <w:ilvl w:val="0"/>
          <w:numId w:val="2"/>
        </w:numPr>
        <w:spacing w:after="60"/>
      </w:pPr>
      <w:r>
        <w:rPr>
          <w:rFonts w:ascii="Calibri" w:cs="Calibri" w:eastAsia="Calibri" w:hAnsi="Calibri"/>
          <w:sz w:val="20"/>
          <w:szCs w:val="20"/>
        </w:rPr>
        <w:t xml:space="preserve">Multi-project clients (4+ projects/year): 10% across-the-board. Formalise as a simple agreement, not a subscription.</w:t>
      </w:r>
    </w:p>
    <w:p>
      <w:pPr>
        <w:pStyle w:val="ListParagraph"/>
        <w:numPr>
          <w:ilvl w:val="0"/>
          <w:numId w:val="2"/>
        </w:numPr>
        <w:spacing w:after="60"/>
      </w:pPr>
      <w:r>
        <w:rPr>
          <w:rFonts w:ascii="Calibri" w:cs="Calibri" w:eastAsia="Calibri" w:hAnsi="Calibri"/>
          <w:sz w:val="20"/>
          <w:szCs w:val="20"/>
        </w:rPr>
        <w:t xml:space="preserve">White-label partners on annual arrangement: fixed rate card per module, reviewed annually. This gives them pricing certainty for their own quoting.</w:t>
      </w:r>
    </w:p>
    <w:p>
      <w:pPr>
        <w:pStyle w:val="ListParagraph"/>
        <w:numPr>
          <w:ilvl w:val="0"/>
          <w:numId w:val="2"/>
        </w:numPr>
        <w:spacing w:after="200"/>
      </w:pPr>
      <w:r>
        <w:rPr>
          <w:rFonts w:ascii="Calibri" w:cs="Calibri" w:eastAsia="Calibri" w:hAnsi="Calibri"/>
          <w:sz w:val="20"/>
          <w:szCs w:val="20"/>
        </w:rPr>
        <w:t xml:space="preserve">Never discount more than 20%. Below that, you’re eroding the value signal. If the price doesn’t work for the client, scope down rather than discount.</w:t>
      </w:r>
    </w:p>
    <w:p>
      <w:pPr>
        <w:pStyle w:val="Heading1"/>
      </w:pPr>
      <w:r>
        <w:t xml:space="preserve">Rules for Quoting</w:t>
      </w:r>
    </w:p>
    <w:p>
      <w:pPr>
        <w:pStyle w:val="ListParagraph"/>
        <w:numPr>
          <w:ilvl w:val="0"/>
          <w:numId w:val="3"/>
        </w:numPr>
        <w:spacing w:after="80"/>
      </w:pPr>
      <w:r>
        <w:rPr>
          <w:rFonts w:ascii="Calibri" w:cs="Calibri" w:eastAsia="Calibri" w:hAnsi="Calibri"/>
          <w:b/>
          <w:bCs/>
          <w:sz w:val="20"/>
          <w:szCs w:val="20"/>
        </w:rPr>
        <w:t xml:space="preserve">Always quote a range, not a point. </w:t>
      </w:r>
      <w:r>
        <w:rPr>
          <w:rFonts w:ascii="Calibri" w:cs="Calibri" w:eastAsia="Calibri" w:hAnsi="Calibri"/>
          <w:sz w:val="20"/>
          <w:szCs w:val="20"/>
        </w:rPr>
        <w:t xml:space="preserve">“R25–40K depending on data complexity” is better than “R32K.” Ranges let you adjust once you see the data without renegotiating.</w:t>
      </w:r>
    </w:p>
    <w:p>
      <w:pPr>
        <w:pStyle w:val="ListParagraph"/>
        <w:numPr>
          <w:ilvl w:val="0"/>
          <w:numId w:val="3"/>
        </w:numPr>
        <w:spacing w:after="80"/>
      </w:pPr>
      <w:r>
        <w:rPr>
          <w:rFonts w:ascii="Calibri" w:cs="Calibri" w:eastAsia="Calibri" w:hAnsi="Calibri"/>
          <w:b/>
          <w:bCs/>
          <w:sz w:val="20"/>
          <w:szCs w:val="20"/>
        </w:rPr>
        <w:t xml:space="preserve">Separate data prep from analytics. </w:t>
      </w:r>
      <w:r>
        <w:rPr>
          <w:rFonts w:ascii="Calibri" w:cs="Calibri" w:eastAsia="Calibri" w:hAnsi="Calibri"/>
          <w:sz w:val="20"/>
          <w:szCs w:val="20"/>
        </w:rPr>
        <w:t xml:space="preserve">If the data is messy, quote data prep as a separate line item (R5–15K). This protects you and makes the analytics price look clean.</w:t>
      </w:r>
    </w:p>
    <w:p>
      <w:pPr>
        <w:pStyle w:val="ListParagraph"/>
        <w:numPr>
          <w:ilvl w:val="0"/>
          <w:numId w:val="3"/>
        </w:numPr>
        <w:spacing w:after="80"/>
      </w:pPr>
      <w:r>
        <w:rPr>
          <w:rFonts w:ascii="Calibri" w:cs="Calibri" w:eastAsia="Calibri" w:hAnsi="Calibri"/>
          <w:b/>
          <w:bCs/>
          <w:sz w:val="20"/>
          <w:szCs w:val="20"/>
        </w:rPr>
        <w:t xml:space="preserve">Name what’s included. </w:t>
      </w:r>
      <w:r>
        <w:rPr>
          <w:rFonts w:ascii="Calibri" w:cs="Calibri" w:eastAsia="Calibri" w:hAnsi="Calibri"/>
          <w:sz w:val="20"/>
          <w:szCs w:val="20"/>
        </w:rPr>
        <w:t xml:space="preserve">Every quote should list: modules, number of banner variables, initial pinned views (yes/no), interpretation session (yes/no), PowerPoint export of key findings (yes/no).</w:t>
      </w:r>
    </w:p>
    <w:p>
      <w:pPr>
        <w:pStyle w:val="ListParagraph"/>
        <w:numPr>
          <w:ilvl w:val="0"/>
          <w:numId w:val="3"/>
        </w:numPr>
        <w:spacing w:after="80"/>
      </w:pPr>
      <w:r>
        <w:rPr>
          <w:rFonts w:ascii="Calibri" w:cs="Calibri" w:eastAsia="Calibri" w:hAnsi="Calibri"/>
          <w:b/>
          <w:bCs/>
          <w:sz w:val="20"/>
          <w:szCs w:val="20"/>
        </w:rPr>
        <w:t xml:space="preserve">The interactive report is the premium. </w:t>
      </w:r>
      <w:r>
        <w:rPr>
          <w:rFonts w:ascii="Calibri" w:cs="Calibri" w:eastAsia="Calibri" w:hAnsi="Calibri"/>
          <w:sz w:val="20"/>
          <w:szCs w:val="20"/>
        </w:rPr>
        <w:t xml:space="preserve">If a client only wants static tables, you can offer that at 60–70% of the interactive price — but steer them toward interactive. That’s the differentiator.</w:t>
      </w:r>
    </w:p>
    <w:p>
      <w:pPr>
        <w:pStyle w:val="ListParagraph"/>
        <w:numPr>
          <w:ilvl w:val="0"/>
          <w:numId w:val="3"/>
        </w:numPr>
        <w:spacing w:after="80"/>
      </w:pPr>
      <w:r>
        <w:rPr>
          <w:rFonts w:ascii="Calibri" w:cs="Calibri" w:eastAsia="Calibri" w:hAnsi="Calibri"/>
          <w:b/>
          <w:bCs/>
          <w:sz w:val="20"/>
          <w:szCs w:val="20"/>
        </w:rPr>
        <w:t xml:space="preserve">Speed is included, not extra. </w:t>
      </w:r>
      <w:r>
        <w:rPr>
          <w:rFonts w:ascii="Calibri" w:cs="Calibri" w:eastAsia="Calibri" w:hAnsi="Calibri"/>
          <w:sz w:val="20"/>
          <w:szCs w:val="20"/>
        </w:rPr>
        <w:t xml:space="preserve">The fast turnaround is a selling point, not a line item. Don’t charge rush fees — it undermines the efficiency narrative.</w:t>
      </w:r>
    </w:p>
    <w:p>
      <w:pPr>
        <w:pStyle w:val="ListParagraph"/>
        <w:numPr>
          <w:ilvl w:val="0"/>
          <w:numId w:val="3"/>
        </w:numPr>
        <w:spacing w:after="200"/>
      </w:pPr>
      <w:r>
        <w:rPr>
          <w:rFonts w:ascii="Calibri" w:cs="Calibri" w:eastAsia="Calibri" w:hAnsi="Calibri"/>
          <w:b/>
          <w:bCs/>
          <w:sz w:val="20"/>
          <w:szCs w:val="20"/>
        </w:rPr>
        <w:t xml:space="preserve">For partners: give them a rate card they can plan around. </w:t>
      </w:r>
      <w:r>
        <w:rPr>
          <w:rFonts w:ascii="Calibri" w:cs="Calibri" w:eastAsia="Calibri" w:hAnsi="Calibri"/>
          <w:sz w:val="20"/>
          <w:szCs w:val="20"/>
        </w:rPr>
        <w:t xml:space="preserve">Partners need to quote their own clients confidently. A stable rate card (reviewed annually) matters more than optimising every project’s margin.</w:t>
      </w:r>
    </w:p>
    <w:p>
      <w:pPr>
        <w:pStyle w:val="Heading2"/>
      </w:pPr>
      <w:r>
        <w:t xml:space="preserve">What Not to Do</w:t>
      </w:r>
    </w:p>
    <w:p>
      <w:pPr>
        <w:pStyle w:val="ListParagraph"/>
        <w:numPr>
          <w:ilvl w:val="0"/>
          <w:numId w:val="2"/>
        </w:numPr>
        <w:spacing w:after="60"/>
      </w:pPr>
      <w:r>
        <w:rPr>
          <w:rFonts w:ascii="Calibri" w:cs="Calibri" w:eastAsia="Calibri" w:hAnsi="Calibri"/>
          <w:sz w:val="20"/>
          <w:szCs w:val="20"/>
        </w:rPr>
        <w:t xml:space="preserve">Don’t publish prices on the website yet. You’re still establishing what the market will bear. Published prices anchor you before you have enough data points.</w:t>
      </w:r>
    </w:p>
    <w:p>
      <w:pPr>
        <w:pStyle w:val="ListParagraph"/>
        <w:numPr>
          <w:ilvl w:val="0"/>
          <w:numId w:val="2"/>
        </w:numPr>
        <w:spacing w:after="60"/>
      </w:pPr>
      <w:r>
        <w:rPr>
          <w:rFonts w:ascii="Calibri" w:cs="Calibri" w:eastAsia="Calibri" w:hAnsi="Calibri"/>
          <w:sz w:val="20"/>
          <w:szCs w:val="20"/>
        </w:rPr>
        <w:t xml:space="preserve">Don’t let the proof-of-concept price become the anchor. Keep it clearly framed as a courtesy rate. The quote for this year’s work should be a fresh conversation.</w:t>
      </w:r>
    </w:p>
    <w:p>
      <w:pPr>
        <w:pStyle w:val="ListParagraph"/>
        <w:numPr>
          <w:ilvl w:val="0"/>
          <w:numId w:val="2"/>
        </w:numPr>
        <w:spacing w:after="60"/>
      </w:pPr>
      <w:r>
        <w:rPr>
          <w:rFonts w:ascii="Calibri" w:cs="Calibri" w:eastAsia="Calibri" w:hAnsi="Calibri"/>
          <w:sz w:val="20"/>
          <w:szCs w:val="20"/>
        </w:rPr>
        <w:t xml:space="preserve">Don’t discount to win. If the budget genuinely doesn’t fit, offer fewer modules or a simplified scope. A R25K base report is better than a R18K full suite that devalues everything.</w:t>
      </w:r>
    </w:p>
    <w:p>
      <w:pPr>
        <w:pStyle w:val="ListParagraph"/>
        <w:numPr>
          <w:ilvl w:val="0"/>
          <w:numId w:val="2"/>
        </w:numPr>
        <w:spacing w:after="60"/>
      </w:pPr>
      <w:r>
        <w:rPr>
          <w:rFonts w:ascii="Calibri" w:cs="Calibri" w:eastAsia="Calibri" w:hAnsi="Calibri"/>
          <w:sz w:val="20"/>
          <w:szCs w:val="20"/>
        </w:rPr>
        <w:t xml:space="preserve">Don’t offer subscriptions. The “no subscriptions, no lock-in” positioning is a genuine competitive advantage against Displayr and Qualtrics. Protect it.</w:t>
      </w:r>
    </w:p>
    <w:p>
      <w:pPr>
        <w:pStyle w:val="ListParagraph"/>
        <w:numPr>
          <w:ilvl w:val="0"/>
          <w:numId w:val="2"/>
        </w:numPr>
        <w:spacing w:after="200"/>
      </w:pPr>
      <w:r>
        <w:rPr>
          <w:rFonts w:ascii="Calibri" w:cs="Calibri" w:eastAsia="Calibri" w:hAnsi="Calibri"/>
          <w:sz w:val="20"/>
          <w:szCs w:val="20"/>
        </w:rPr>
        <w:t xml:space="preserve">Don’t quote hourly. Ever. You’re selling outcomes, and your efficiency is your margin — not a reason to charge less.</w:t>
      </w:r>
    </w:p>
    <w:p>
      <w:pPr>
        <w:pStyle w:val="Heading1"/>
      </w:pPr>
      <w:r>
        <w:t xml:space="preserve">Quick Reference: Common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c>
          <w:tcPr>
            <w:tcW w:type="dxa" w:w="32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ZAR Range</w:t>
            </w:r>
          </w:p>
        </w:tc>
        <w:tc>
          <w:tcPr>
            <w:tcW w:type="dxa" w:w="1800"/>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USD Range</w:t>
            </w:r>
          </w:p>
        </w:tc>
        <w:tc>
          <w:tcPr>
            <w:tcW w:type="dxa" w:w="2226"/>
            <w:tcBorders>
              <w:top w:val="single" w:color="CCCCCC" w:sz="1"/>
              <w:left w:val="single" w:color="CCCCCC" w:sz="1"/>
              <w:bottom w:val="single" w:color="CCCCCC" w:sz="1"/>
              <w:right w:val="single" w:color="CCCCCC" w:sz="1"/>
            </w:tcBorders>
            <w:shd w:fill="1C2456"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Annual CSAT / staff survey (Tabs)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R25–R35K</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$2–$3K</w:t>
            </w:r>
          </w:p>
        </w:tc>
        <w:tc>
          <w:tcPr>
            <w:tcW w:type="dxa" w:w="2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Bread and butter. Fast, repeatable.</w:t>
            </w:r>
          </w:p>
        </w:tc>
      </w:tr>
      <w:tr>
        <w:tc>
          <w:tcPr>
            <w:tcW w:type="dxa" w:w="32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Brand tracker wave (Tabs + Tracker)</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R30–R50K</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$2.8–$4.5K</w:t>
            </w:r>
          </w:p>
        </w:tc>
        <w:tc>
          <w:tcPr>
            <w:tcW w:type="dxa" w:w="2226"/>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Wave 2+ at 10–15% discount.</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Brand health + drivers (Tabs + KD + Segment)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R50–R85K</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$3.5–$6.5K</w:t>
            </w:r>
          </w:p>
        </w:tc>
        <w:tc>
          <w:tcPr>
            <w:tcW w:type="dxa" w:w="2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IPK-type work. High value.</w:t>
            </w:r>
          </w:p>
        </w:tc>
      </w:tr>
      <w:tr>
        <w:tc>
          <w:tcPr>
            <w:tcW w:type="dxa" w:w="32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Product/pricing study (Tabs + Conjoint + Pricing)</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R60–R110K</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$5–$10K</w:t>
            </w:r>
          </w:p>
        </w:tc>
        <w:tc>
          <w:tcPr>
            <w:tcW w:type="dxa" w:w="2226"/>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Premium end. Design input likely needed.</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White-label base for partner</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R15–R25K</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$1.2–$2.2K</w:t>
            </w:r>
          </w:p>
        </w:tc>
        <w:tc>
          <w:tcPr>
            <w:tcW w:type="dxa" w:w="22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Partner charges client 1.8–2.5x.</w:t>
            </w:r>
          </w:p>
        </w:tc>
      </w:tr>
      <w:tr>
        <w:tc>
          <w:tcPr>
            <w:tcW w:type="dxa" w:w="32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Proof-of-concept re-run (old data)</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R0–R8K</w:t>
            </w:r>
          </w:p>
        </w:tc>
        <w:tc>
          <w:tcPr>
            <w:tcW w:type="dxa" w:w="1800"/>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w:t>
            </w:r>
          </w:p>
        </w:tc>
        <w:tc>
          <w:tcPr>
            <w:tcW w:type="dxa" w:w="2226"/>
            <w:tcBorders>
              <w:top w:val="single" w:color="CCCCCC" w:sz="1"/>
              <w:left w:val="single" w:color="CCCCCC" w:sz="1"/>
              <w:bottom w:val="single" w:color="CCCCCC" w:sz="1"/>
              <w:right w:val="single" w:color="CCCCCC" w:sz="1"/>
            </w:tcBorders>
            <w:shd w:fill="FAF8F3" w:val="clear"/>
            <w:tcMar>
              <w:top w:type="dxa" w:w="50"/>
              <w:left w:type="dxa" w:w="100"/>
              <w:bottom w:type="dxa" w:w="50"/>
              <w:right w:type="dxa" w:w="100"/>
            </w:tcMar>
            <w:vAlign w:val="center"/>
          </w:tcPr>
          <w:p>
            <w:pPr>
              <w:spacing/>
              <w:jc w:val="left"/>
            </w:pPr>
            <w:r>
              <w:rPr>
                <w:rFonts w:ascii="Calibri" w:cs="Calibri" w:eastAsia="Calibri" w:hAnsi="Calibri"/>
                <w:b w:val="false"/>
                <w:bCs w:val="false"/>
                <w:i w:val="false"/>
                <w:iCs w:val="false"/>
                <w:color w:val="333333"/>
                <w:sz w:val="16"/>
                <w:szCs w:val="16"/>
              </w:rPr>
              <w:t xml:space="preserve">Max 1 per client. Must lead to paid work.</w:t>
            </w:r>
          </w:p>
        </w:tc>
      </w:tr>
    </w:tbl>
    <w:p>
      <w:pPr>
        <w:pBdr>
          <w:top w:val="single" w:color="D4A843" w:sz="4" w:space="8"/>
        </w:pBdr>
        <w:spacing w:before="300" w:after="100"/>
      </w:pPr>
      <w:r>
        <w:rPr>
          <w:rFonts w:ascii="Calibri" w:cs="Calibri" w:eastAsia="Calibri" w:hAnsi="Calibri"/>
          <w:b/>
          <w:bCs/>
          <w:color w:val="1C2456"/>
          <w:sz w:val="20"/>
          <w:szCs w:val="20"/>
        </w:rPr>
        <w:t xml:space="preserve">Review this quarterly. </w:t>
      </w:r>
      <w:r>
        <w:rPr>
          <w:rFonts w:ascii="Calibri" w:cs="Calibri" w:eastAsia="Calibri" w:hAnsi="Calibri"/>
          <w:sz w:val="20"/>
          <w:szCs w:val="20"/>
        </w:rPr>
        <w:t xml:space="preserve">As you complete more projects, you’ll learn where the market sits. Adjust the ranges based on what actually closes, not what feels right. Track every quote you send and its outcome — accepted, negotiated down, or lost — and let that data drive the next revision.</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AE3" w:sz="4" w:space="4"/>
      </w:pBdr>
    </w:pPr>
    <w:r>
      <w:rPr>
        <w:rFonts w:ascii="Calibri" w:cs="Calibri" w:eastAsia="Calibri" w:hAnsi="Calibri"/>
        <w:i/>
        <w:iCs/>
        <w:color w:val="5A6078"/>
        <w:sz w:val="14"/>
        <w:szCs w:val="14"/>
      </w:rPr>
      <w:t xml:space="preserve">Confidential — Not for distribution to clients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6" w:space="4"/>
      </w:pBdr>
      <w:tabs>
        <w:tab w:val="right" w:pos="9026"/>
      </w:tabs>
      <w:spacing w:after="0"/>
    </w:pPr>
    <w:r>
      <w:rPr>
        <w:rFonts w:ascii="Calibri" w:cs="Calibri" w:eastAsia="Calibri" w:hAnsi="Calibri"/>
        <w:b/>
        <w:bCs/>
        <w:color w:val="1C2456"/>
        <w:sz w:val="16"/>
        <w:szCs w:val="16"/>
      </w:rPr>
      <w:t xml:space="preserve">Turas Pricing Framework</w:t>
    </w:r>
    <w:r>
      <w:rPr>
        <w:rFonts w:ascii="Calibri" w:cs="Calibri" w:eastAsia="Calibri" w:hAnsi="Calibri"/>
        <w:color w:val="5A6078"/>
        <w:sz w:val="14"/>
        <w:szCs w:val="14"/>
      </w:rPr>
      <w:t xml:space="preserve">	The Research LampPost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C2456"/>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1C24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2026-03-21T13:47:14.566Z</dcterms:created>
  <dcterms:modified xsi:type="dcterms:W3CDTF">2026-03-21T13:47:14.567Z</dcterms:modified>
</cp:coreProperties>
</file>

<file path=docProps/custom.xml><?xml version="1.0" encoding="utf-8"?>
<Properties xmlns="http://schemas.openxmlformats.org/officeDocument/2006/custom-properties" xmlns:vt="http://schemas.openxmlformats.org/officeDocument/2006/docPropsVTypes"/>
</file>