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324C"/>
          <w:sz w:val="48"/>
          <w:szCs w:val="48"/>
        </w:rPr>
        <w:t xml:space="preserve">Turas</w:t>
      </w:r>
      <w:r>
        <w:rPr>
          <w:color w:val="444444"/>
          <w:sz w:val="26"/>
          <w:szCs w:val="26"/>
        </w:rPr>
        <w:t xml:space="preserve">   Interactive survey analytics</w:t>
      </w:r>
    </w:p>
    <w:p>
      <w:pPr>
        <w:pBdr>
          <w:bottom w:val="single" w:color="16324C" w:sz="8" w:space="4"/>
        </w:pBdr>
        <w:spacing w:after="180"/>
      </w:pPr>
      <w:r>
        <w:rPr>
          <w:color w:val="666666"/>
          <w:sz w:val="18"/>
          <w:szCs w:val="18"/>
        </w:rPr>
        <w:t xml:space="preserve">The Research LampPost</w:t>
      </w:r>
    </w:p>
    <w:p>
      <w:pPr>
        <w:spacing w:after="120"/>
      </w:pPr>
      <w:r>
        <w:t xml:space="preserve">Most survey research ends its life as a 100-page PowerPoint and a cross-tab file nobody opens. Three months later, no one can remember what it said. Turas fixes that.</w:t>
      </w:r>
    </w:p>
    <w:p>
      <w:pPr>
        <w:spacing w:after="120"/>
      </w:pPr>
      <w:r>
        <w:t xml:space="preserve">Turas takes your survey dataset, runs proper statistical analysis — significance testing, weighting, driver analysis, segmentation, conjoint — and delivers the results as a single interactive HTML report. One file. It opens in any browser, works offline, and needs no login, licence or subscription. You own it outright and can share it with anyone.</w:t>
      </w:r>
    </w:p>
    <w:p>
      <w:pPr>
        <w:pStyle w:val="Heading2"/>
      </w:pPr>
      <w:r>
        <w:t xml:space="preserve">What you 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cross-tabs with significance testing, filters and charts — your team explores the data themselves instead of paging through static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boardroom-ready PowerPoint summary generated from the same data, for the meeting where nobody opens a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 where the brief needs it: key drivers, segmentation, MaxDiff, conjoint, price sensitivity, and tracking across waves.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Statistics run in R and verified by an automated test suite — not Excel approximations.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us your data — an Alchemer, CSV or Excel export, with the questionnaire.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set up the analysis, run it, and quality-check the output.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get the report plus a 30-minute walkthrough. Typical turnaround is 5–10 working days from clean data.</w:t>
      </w:r>
    </w:p>
    <w:p>
      <w:pPr>
        <w:pStyle w:val="Heading2"/>
      </w:pPr>
      <w:r>
        <w:t xml:space="preserve">For research agencies</w:t>
      </w:r>
    </w:p>
    <w:p>
      <w:pPr>
        <w:spacing w:after="120"/>
      </w:pPr>
      <w:r>
        <w:t xml:space="preserve">We deliver under your brand. Your client sees your logo on a deliverable your competitors can’t produce, at trade rates that leave you margin. We stay invisible.</w:t>
      </w:r>
    </w:p>
    <w:p>
      <w:pPr>
        <w:pStyle w:val="Heading2"/>
      </w:pPr>
      <w:r>
        <w:t xml:space="preserve">What it costs</w:t>
      </w:r>
    </w:p>
    <w:p>
      <w:pPr>
        <w:spacing w:after="120"/>
      </w:pPr>
      <w:r>
        <w:t xml:space="preserve">A standard interactive cross-tab report starts at R9,000 (around $1,100 for international clients). Advanced modules are quoted per project; most land between R10,000 and R48,000 depending on scope. First project at half rate, so you can judge the output on your own data before committing to anything.</w:t>
      </w:r>
    </w:p>
    <w:p>
      <w:pPr>
        <w:pStyle w:val="Heading2"/>
      </w:pPr>
      <w:r>
        <w:t xml:space="preserve">What Turas is not</w:t>
      </w:r>
    </w:p>
    <w:p>
      <w:pPr>
        <w:spacing w:after="120"/>
      </w:pPr>
      <w:r>
        <w:t xml:space="preserve">It’s not a software platform. You don’t get a login and a learning curve — you get the finished analysis. Data collection stays with your survey tool; we take it from there.</w:t>
      </w:r>
    </w:p>
    <w:p>
      <w:pPr>
        <w:pStyle w:val="Heading2"/>
      </w:pPr>
      <w:r>
        <w:t xml:space="preserve">Who’s behind it</w:t>
      </w:r>
    </w:p>
    <w:p>
      <w:pPr>
        <w:spacing w:after="120"/>
      </w:pPr>
      <w:r>
        <w:t xml:space="preserve">Turas is built and run by Duncan Brett of The Research LampPost, a SAMRA-accredited market researcher. The analytics come from someone who runs real research projects for a living, not a software company approximating statistics.</w:t>
      </w:r>
    </w:p>
    <w:p>
      <w:pPr>
        <w:pBdr>
          <w:top w:val="single" w:color="16324C" w:sz="6" w:space="4"/>
        </w:pBdr>
        <w:spacing w:before="120"/>
      </w:pPr>
      <w:r>
        <w:rPr>
          <w:b/>
          <w:bCs/>
          <w:color w:val="16324C"/>
        </w:rPr>
        <w:t xml:space="preserve">duncan@researchlamppost.co.za  ·  www.researchlamppost.co.za</w:t>
      </w:r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632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32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2026-07-05T19:20:54.496Z</dcterms:created>
  <dcterms:modified xsi:type="dcterms:W3CDTF">2026-07-05T19:20:54.496Z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