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6324C"/>
          <w:sz w:val="44"/>
          <w:szCs w:val="44"/>
        </w:rPr>
        <w:t xml:space="preserve">Turas Rate Card</w:t>
      </w:r>
    </w:p>
    <w:p>
      <w:pPr>
        <w:pBdr>
          <w:bottom w:val="single" w:color="16324C" w:sz="8" w:space="4"/>
        </w:pBdr>
        <w:spacing w:after="200"/>
      </w:pPr>
      <w:r>
        <w:rPr>
          <w:color w:val="666666"/>
          <w:sz w:val="18"/>
          <w:szCs w:val="18"/>
        </w:rPr>
        <w:t xml:space="preserve">The Research LampPost · Effective July 2026 · Commercial in confidence</w:t>
      </w:r>
    </w:p>
    <w:p>
      <w:pPr>
        <w:spacing w:after="120"/>
      </w:pPr>
      <w:r>
        <w:t xml:space="preserve">Turas turns survey data into a standalone interactive report — a single HTML file with cross-tabs, significance testing, filters and charts, plus a boardroom-ready PowerPoint summary. No subscription, no login, no software to install. The client owns the output outright.</w:t>
      </w:r>
    </w:p>
    <w:p>
      <w:pPr>
        <w:spacing w:after="120"/>
      </w:pPr>
      <w:r>
        <w:t xml:space="preserve">Rates below are per deliverable and depend on two things: who the client is (end clients vs research agencies buying on behalf of their clients) and the scope tier. All rates assume clean, structured data in an agreed format. South African rates exclude VAT; international work is zero-rated for South African VAT.</w:t>
      </w:r>
    </w:p>
    <w:p>
      <w:pPr>
        <w:pStyle w:val="Heading1"/>
      </w:pPr>
      <w:r>
        <w:t xml:space="preserve">The three tiers</w:t>
      </w:r>
    </w:p>
    <w:p>
      <w:pPr>
        <w:spacing w:after="120"/>
      </w:pPr>
      <w:r>
        <w:rPr>
          <w:b/>
          <w:bCs/>
        </w:rPr>
        <w:t xml:space="preserve">Standard — </w:t>
      </w:r>
      <w:r>
        <w:t xml:space="preserve">clean data, up to roughly 30 questions, one banner set, Turas standard theme, one review round, the standalone HTML report and a 30-minute orientation call.</w:t>
      </w:r>
    </w:p>
    <w:p>
      <w:pPr>
        <w:spacing w:after="120"/>
      </w:pPr>
      <w:r>
        <w:rPr>
          <w:b/>
          <w:bCs/>
        </w:rPr>
        <w:t xml:space="preserve">Extended — </w:t>
      </w:r>
      <w:r>
        <w:t xml:space="preserve">up to roughly 60 questions, up to three banner sets or a composite banner, client branding, the boardroom PowerPoint summary deck, and two review rounds.</w:t>
      </w:r>
    </w:p>
    <w:p>
      <w:pPr>
        <w:spacing w:after="120"/>
      </w:pPr>
      <w:r>
        <w:rPr>
          <w:b/>
          <w:bCs/>
        </w:rPr>
        <w:t xml:space="preserve">Full service — </w:t>
      </w:r>
      <w:r>
        <w:t xml:space="preserve">large or complex studies (60+ questions, trackers with segment trends), weighting included, AI-assisted insight layer where the client consents to it, a short written summary of key findings, a findings presentation, and priority turnaround.</w:t>
      </w:r>
    </w:p>
    <w:p>
      <w:pPr>
        <w:pStyle w:val="Heading1"/>
      </w:pPr>
      <w:r>
        <w:t xml:space="preserve">South Africa — end clients</w:t>
      </w:r>
    </w:p>
    <w:p>
      <w:pPr>
        <w:spacing w:after="120"/>
      </w:pPr>
      <w:r>
        <w:rPr>
          <w:i/>
          <w:iCs/>
        </w:rPr>
        <w:t xml:space="preserve">For corporates, insights teams and anyone commissioning analysis directly. Rand, excluding VAT.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000"/>
        <w:gridCol w:w="2000"/>
        <w:gridCol w:w="2000"/>
      </w:tblGrid>
      <w:tr>
        <w:trPr>
          <w:tblHeader/>
        </w:trPr>
        <w:tc>
          <w:tcPr>
            <w:tcW w:type="dxa" w:w="3638"/>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Deliverable</w:t>
            </w:r>
          </w:p>
        </w:tc>
        <w:tc>
          <w:tcPr>
            <w:tcW w:type="dxa" w:w="2000"/>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Standard (R)</w:t>
            </w:r>
          </w:p>
        </w:tc>
        <w:tc>
          <w:tcPr>
            <w:tcW w:type="dxa" w:w="2000"/>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Extended (R)</w:t>
            </w:r>
          </w:p>
        </w:tc>
        <w:tc>
          <w:tcPr>
            <w:tcW w:type="dxa" w:w="2000"/>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Full service (R)</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Interactive cross-tab report (Tabs)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9,000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15,000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25,000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Tracker — first wave (setup + report)</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15,000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21,000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30,000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Tracker — each subsequent wave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8,000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13,000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20,000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Key driver analysis</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10,000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15,000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22,000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Categorical driver analysis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9,000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13,000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18,000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Segmentation</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18,000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26,000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38,000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Conjoint (CBC with simulator)</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25,000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35,000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48,000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MaxDiff</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12,000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17,000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24,000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Price sensitivity (Van Westendorp)</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9,000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12,000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16,000</w:t>
            </w:r>
          </w:p>
        </w:tc>
      </w:tr>
    </w:tbl>
    <w:p>
      <w:pPr>
        <w:pStyle w:val="Heading1"/>
        <w:pageBreakBefore/>
      </w:pPr>
      <w:r>
        <w:t xml:space="preserve">South Africa — research agencies (trade rates)</w:t>
      </w:r>
    </w:p>
    <w:p>
      <w:pPr>
        <w:spacing w:after="120"/>
      </w:pPr>
      <w:r>
        <w:t xml:space="preserve">Trade rates are 25% below end-client rates. They apply when the agency owns the end-client relationship and handles all client queries, data arrives clean in the agreed format, and the deliverable is white-labelled or co-branded (once-off branding setup fee applies). Agencies committing to five or more projects a year qualify for a further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000"/>
        <w:gridCol w:w="2000"/>
        <w:gridCol w:w="2000"/>
      </w:tblGrid>
      <w:tr>
        <w:trPr>
          <w:tblHeader/>
        </w:trPr>
        <w:tc>
          <w:tcPr>
            <w:tcW w:type="dxa" w:w="3638"/>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Deliverable</w:t>
            </w:r>
          </w:p>
        </w:tc>
        <w:tc>
          <w:tcPr>
            <w:tcW w:type="dxa" w:w="2000"/>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Standard (R)</w:t>
            </w:r>
          </w:p>
        </w:tc>
        <w:tc>
          <w:tcPr>
            <w:tcW w:type="dxa" w:w="2000"/>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Extended (R)</w:t>
            </w:r>
          </w:p>
        </w:tc>
        <w:tc>
          <w:tcPr>
            <w:tcW w:type="dxa" w:w="2000"/>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Full service (R)</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Interactive cross-tab report (Tabs)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7,000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11,500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19,000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Tracker — first wave (setup + report)</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11,500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16,000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22,500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Tracker — each subsequent wave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6,000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10,000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15,000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Key driver analysis</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7,500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11,500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16,500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Categorical driver analysis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7,000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10,000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13,500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Segmentation</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13,500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19,500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28,500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Conjoint (CBC with simulator)</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19,000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26,500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36,000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MaxDiff</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9,000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13,000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18,000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Price sensitivity (Van Westendorp)</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7,000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9,000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12,000</w:t>
            </w:r>
          </w:p>
        </w:tc>
      </w:tr>
    </w:tbl>
    <w:p>
      <w:pPr>
        <w:pStyle w:val="Heading1"/>
        <w:pageBreakBefore/>
      </w:pPr>
      <w:r>
        <w:t xml:space="preserve">International — end clients</w:t>
      </w:r>
    </w:p>
    <w:p>
      <w:pPr>
        <w:spacing w:after="120"/>
      </w:pPr>
      <w:r>
        <w:t xml:space="preserve">Quote in the client’s currency; the US dollar figures below are the anchor. For Australia and the UK, quote the local-currency equivalent. For the United States, add 20–25%. For other African markets, quote between the SA and international rates. Figures assume roughly R18 to the dollar — adjust when the rand does something interesting.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000"/>
        <w:gridCol w:w="2000"/>
        <w:gridCol w:w="2000"/>
      </w:tblGrid>
      <w:tr>
        <w:trPr>
          <w:tblHeader/>
        </w:trPr>
        <w:tc>
          <w:tcPr>
            <w:tcW w:type="dxa" w:w="3638"/>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Deliverable</w:t>
            </w:r>
          </w:p>
        </w:tc>
        <w:tc>
          <w:tcPr>
            <w:tcW w:type="dxa" w:w="2000"/>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Standard ($)</w:t>
            </w:r>
          </w:p>
        </w:tc>
        <w:tc>
          <w:tcPr>
            <w:tcW w:type="dxa" w:w="2000"/>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Extended ($)</w:t>
            </w:r>
          </w:p>
        </w:tc>
        <w:tc>
          <w:tcPr>
            <w:tcW w:type="dxa" w:w="2000"/>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Full service ($)</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Interactive cross-tab report (Tabs)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1,100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1,900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3,100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Tracker — first wave (setup + report)</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1,900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2,600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3,800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Tracker — each subsequent wave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1,000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1,600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2,500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Key driver analysis</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1,300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1,900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2,800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Categorical driver analysis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1,100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1,600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2,300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Segmentation</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2,300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3,300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4,800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Conjoint (CBC with simulator)</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3,100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4,400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6,000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MaxDiff</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1,500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2,100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3,000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Price sensitivity (Van Westendorp)</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1,100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1,500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2,000</w:t>
            </w:r>
          </w:p>
        </w:tc>
      </w:tr>
    </w:tbl>
    <w:p>
      <w:pPr>
        <w:pStyle w:val="Heading1"/>
      </w:pPr>
      <w:r>
        <w:t xml:space="preserve">International — research agencies (trade rates)</w:t>
      </w:r>
    </w:p>
    <w:p>
      <w:pPr>
        <w:spacing w:after="120"/>
      </w:pPr>
      <w:r>
        <w:t xml:space="preserve">Same conditions as the SA trade rates: the agency owns the client relationship, data arrives clean, deliverable is white-labelled.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000"/>
        <w:gridCol w:w="2000"/>
        <w:gridCol w:w="2000"/>
      </w:tblGrid>
      <w:tr>
        <w:trPr>
          <w:tblHeader/>
        </w:trPr>
        <w:tc>
          <w:tcPr>
            <w:tcW w:type="dxa" w:w="3638"/>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Deliverable</w:t>
            </w:r>
          </w:p>
        </w:tc>
        <w:tc>
          <w:tcPr>
            <w:tcW w:type="dxa" w:w="2000"/>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Standard ($)</w:t>
            </w:r>
          </w:p>
        </w:tc>
        <w:tc>
          <w:tcPr>
            <w:tcW w:type="dxa" w:w="2000"/>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Extended ($)</w:t>
            </w:r>
          </w:p>
        </w:tc>
        <w:tc>
          <w:tcPr>
            <w:tcW w:type="dxa" w:w="2000"/>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Full service ($)</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Interactive cross-tab report (Tabs)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850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1,400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2,300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Tracker — first wave (setup + report)</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1,400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2,000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2,900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Tracker — each subsequent wave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750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1,200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1,900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Key driver analysis</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1,000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1,400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2,100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Categorical driver analysis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850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1,200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1,700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Segmentation</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1,700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2,500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3,600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Conjoint (CBC with simulator)</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2,300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3,300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4,500</w:t>
            </w:r>
          </w:p>
        </w:tc>
      </w:tr>
      <w:tr>
        <w:tc>
          <w:tcPr>
            <w:tcW w:type="dxa" w:w="3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MaxDiff</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1,100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1,600</w:t>
            </w:r>
          </w:p>
        </w:tc>
        <w:tc>
          <w:tcPr>
            <w:tcW w:type="dxa" w:w="20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right"/>
            </w:pPr>
            <w:r>
              <w:t xml:space="preserve">2,300</w:t>
            </w:r>
          </w:p>
        </w:tc>
      </w:tr>
      <w:tr>
        <w:tc>
          <w:tcPr>
            <w:tcW w:type="dxa" w:w="3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Price sensitivity (Van Westendorp)</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850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1,100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t xml:space="preserve">1,500</w:t>
            </w:r>
          </w:p>
        </w:tc>
      </w:tr>
    </w:tbl>
    <w:p>
      <w:pPr>
        <w:pStyle w:val="Heading1"/>
      </w:pPr>
      <w:r>
        <w:t xml:space="preserve">Add-ons and extras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tblHeader/>
        </w:trPr>
        <w:tc>
          <w:tcPr>
            <w:tcW w:type="dxa" w:w="4638"/>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Item</w:t>
            </w:r>
          </w:p>
        </w:tc>
        <w:tc>
          <w:tcPr>
            <w:tcW w:type="dxa" w:w="2500"/>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South Africa</w:t>
            </w:r>
          </w:p>
        </w:tc>
        <w:tc>
          <w:tcPr>
            <w:tcW w:type="dxa" w:w="2500"/>
            <w:tcBorders>
              <w:top w:val="single" w:color="BBBBBB" w:sz="1"/>
              <w:left w:val="single" w:color="BBBBBB" w:sz="1"/>
              <w:bottom w:val="single" w:color="BBBBBB" w:sz="1"/>
              <w:right w:val="single" w:color="BBBBBB" w:sz="1"/>
            </w:tcBorders>
            <w:shd w:fill="16324C" w:val="clear"/>
            <w:tcMar>
              <w:top w:type="dxa" w:w="60"/>
              <w:left w:type="dxa" w:w="110"/>
              <w:bottom w:type="dxa" w:w="60"/>
              <w:right w:type="dxa" w:w="110"/>
            </w:tcMar>
          </w:tcPr>
          <w:p>
            <w:r>
              <w:rPr>
                <w:b/>
                <w:bCs/>
                <w:color w:val="FFFFFF"/>
              </w:rPr>
              <w:t xml:space="preserve">International</w:t>
            </w:r>
          </w:p>
        </w:tc>
      </w:tr>
      <w:tr>
        <w:tc>
          <w:tcPr>
            <w:tcW w:type="dxa" w:w="4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Weighting (rim or cell)</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R3,000 – R6,000</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$200 – $350</w:t>
            </w:r>
          </w:p>
        </w:tc>
      </w:tr>
      <w:tr>
        <w:tc>
          <w:tcPr>
            <w:tcW w:type="dxa" w:w="4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Custom branding setup (once-off; free on later projects)</w:t>
            </w:r>
          </w:p>
        </w:tc>
        <w:tc>
          <w:tcPr>
            <w:tcW w:type="dxa" w:w="25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R3,500 – R5,000</w:t>
            </w:r>
          </w:p>
        </w:tc>
        <w:tc>
          <w:tcPr>
            <w:tcW w:type="dxa" w:w="25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$250 – $350</w:t>
            </w:r>
          </w:p>
        </w:tc>
      </w:tr>
      <w:tr>
        <w:tc>
          <w:tcPr>
            <w:tcW w:type="dxa" w:w="4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Additional review round</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R2,000 – R3,000</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$150 – $200</w:t>
            </w:r>
          </w:p>
        </w:tc>
      </w:tr>
      <w:tr>
        <w:tc>
          <w:tcPr>
            <w:tcW w:type="dxa" w:w="4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Training session (2 hours)</w:t>
            </w:r>
          </w:p>
        </w:tc>
        <w:tc>
          <w:tcPr>
            <w:tcW w:type="dxa" w:w="25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R5,000 – R8,000</w:t>
            </w:r>
          </w:p>
        </w:tc>
        <w:tc>
          <w:tcPr>
            <w:tcW w:type="dxa" w:w="25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$400 – $600</w:t>
            </w:r>
          </w:p>
        </w:tc>
      </w:tr>
      <w:tr>
        <w:tc>
          <w:tcPr>
            <w:tcW w:type="dxa" w:w="4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Findings presentation (1–2 hours)</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R5,000 – R8,000</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$400 – $600</w:t>
            </w:r>
          </w:p>
        </w:tc>
      </w:tr>
      <w:tr>
        <w:tc>
          <w:tcPr>
            <w:tcW w:type="dxa" w:w="4638"/>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Data cleaning / restructuring</w:t>
            </w:r>
          </w:p>
        </w:tc>
        <w:tc>
          <w:tcPr>
            <w:tcW w:type="dxa" w:w="25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Quoted on inspection</w:t>
            </w:r>
          </w:p>
        </w:tc>
        <w:tc>
          <w:tcPr>
            <w:tcW w:type="dxa" w:w="2500"/>
            <w:tcBorders>
              <w:top w:val="single" w:color="BBBBBB" w:sz="1"/>
              <w:left w:val="single" w:color="BBBBBB" w:sz="1"/>
              <w:bottom w:val="single" w:color="BBBBBB" w:sz="1"/>
              <w:right w:val="single" w:color="BBBBBB" w:sz="1"/>
            </w:tcBorders>
            <w:shd w:fill="EEF3F7" w:val="clear"/>
            <w:tcMar>
              <w:top w:type="dxa" w:w="60"/>
              <w:left w:type="dxa" w:w="110"/>
              <w:bottom w:type="dxa" w:w="60"/>
              <w:right w:type="dxa" w:w="110"/>
            </w:tcMar>
          </w:tcPr>
          <w:p>
            <w:pPr>
              <w:jc w:val="left"/>
            </w:pPr>
            <w:r>
              <w:t xml:space="preserve">Quoted on inspection</w:t>
            </w:r>
          </w:p>
        </w:tc>
      </w:tr>
      <w:tr>
        <w:tc>
          <w:tcPr>
            <w:tcW w:type="dxa" w:w="46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Written findings report</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Quoted as consulting time</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t xml:space="preserve">Quoted as consulting time</w:t>
            </w:r>
          </w:p>
        </w:tc>
      </w:tr>
    </w:tbl>
    <w:p>
      <w:pPr>
        <w:pStyle w:val="Heading1"/>
      </w:pPr>
      <w:r>
        <w:t xml:space="preserve">Discounts</w:t>
      </w:r>
    </w:p>
    <w:p>
      <w:pPr>
        <w:pStyle w:val="ListParagraph"/>
        <w:numPr>
          <w:ilvl w:val="0"/>
          <w:numId w:val="2"/>
        </w:numPr>
        <w:spacing w:after="60"/>
      </w:pPr>
      <w:r>
        <w:rPr>
          <w:b/>
          <w:bCs/>
        </w:rPr>
        <w:t xml:space="preserve">Bundling: </w:t>
      </w:r>
      <w:r>
        <w:t xml:space="preserve">two modules on one dataset, 10% off the total; three or more, 15%; the full suite, 20%.</w:t>
      </w:r>
    </w:p>
    <w:p>
      <w:pPr>
        <w:pStyle w:val="ListParagraph"/>
        <w:numPr>
          <w:ilvl w:val="0"/>
          <w:numId w:val="2"/>
        </w:numPr>
        <w:spacing w:after="60"/>
      </w:pPr>
      <w:r>
        <w:rPr>
          <w:b/>
          <w:bCs/>
        </w:rPr>
        <w:t xml:space="preserve">Volume: </w:t>
      </w:r>
      <w:r>
        <w:t xml:space="preserve">five or more projects a year, 10% off; ten or more, 15% plus priority scheduling.</w:t>
      </w:r>
    </w:p>
    <w:p>
      <w:pPr>
        <w:pStyle w:val="ListParagraph"/>
        <w:numPr>
          <w:ilvl w:val="0"/>
          <w:numId w:val="2"/>
        </w:numPr>
        <w:spacing w:after="60"/>
      </w:pPr>
      <w:r>
        <w:rPr>
          <w:b/>
          <w:bCs/>
        </w:rPr>
        <w:t xml:space="preserve">Pilot: </w:t>
      </w:r>
      <w:r>
        <w:t xml:space="preserve">a new client’s first project at 50–60% of the standard rate, once only, framed explicitly as an evaluation on their own data. The output is a fully functional report, not a demo.</w:t>
      </w:r>
    </w:p>
    <w:p>
      <w:pPr>
        <w:pStyle w:val="ListParagraph"/>
        <w:numPr>
          <w:ilvl w:val="0"/>
          <w:numId w:val="2"/>
        </w:numPr>
        <w:spacing w:after="60"/>
      </w:pPr>
      <w:r>
        <w:rPr>
          <w:b/>
          <w:bCs/>
        </w:rPr>
        <w:t xml:space="preserve">Stacking: </w:t>
      </w:r>
      <w:r>
        <w:t xml:space="preserve">bundling, volume and pilot discounts don’t stack — apply the largest one. Trade rates do combine with the volume discount.</w:t>
      </w:r>
    </w:p>
    <w:p>
      <w:pPr>
        <w:pStyle w:val="Heading1"/>
      </w:pPr>
      <w:r>
        <w:t xml:space="preserve">Included in every project</w:t>
      </w:r>
    </w:p>
    <w:p>
      <w:pPr>
        <w:pStyle w:val="ListParagraph"/>
        <w:numPr>
          <w:ilvl w:val="0"/>
          <w:numId w:val="2"/>
        </w:numPr>
        <w:spacing w:after="60"/>
      </w:pPr>
      <w:r>
        <w:t xml:space="preserve">Data ingestion and preparation, assuming clean, structured data.</w:t>
      </w:r>
    </w:p>
    <w:p>
      <w:pPr>
        <w:pStyle w:val="ListParagraph"/>
        <w:numPr>
          <w:ilvl w:val="0"/>
          <w:numId w:val="2"/>
        </w:numPr>
        <w:spacing w:after="60"/>
      </w:pPr>
      <w:r>
        <w:t xml:space="preserve">Analysis, report generation and an internal quality check against Turas’s automated test suite.</w:t>
      </w:r>
    </w:p>
    <w:p>
      <w:pPr>
        <w:pStyle w:val="ListParagraph"/>
        <w:numPr>
          <w:ilvl w:val="0"/>
          <w:numId w:val="2"/>
        </w:numPr>
        <w:spacing w:after="60"/>
      </w:pPr>
      <w:r>
        <w:t xml:space="preserve">At least one review round (more in higher tiers).</w:t>
      </w:r>
    </w:p>
    <w:p>
      <w:pPr>
        <w:pStyle w:val="ListParagraph"/>
        <w:numPr>
          <w:ilvl w:val="0"/>
          <w:numId w:val="2"/>
        </w:numPr>
        <w:spacing w:after="60"/>
      </w:pPr>
      <w:r>
        <w:t xml:space="preserve">The standalone HTML report file — the client owns it and can use it forever.</w:t>
      </w:r>
    </w:p>
    <w:p>
      <w:pPr>
        <w:pStyle w:val="ListParagraph"/>
        <w:numPr>
          <w:ilvl w:val="0"/>
          <w:numId w:val="2"/>
        </w:numPr>
        <w:spacing w:after="60"/>
      </w:pPr>
      <w:r>
        <w:t xml:space="preserve">A 30-minute orientation call to walk the team through the output.</w:t>
      </w:r>
    </w:p>
    <w:p>
      <w:pPr>
        <w:pStyle w:val="Heading1"/>
      </w:pPr>
      <w:r>
        <w:t xml:space="preserve">Terms</w:t>
      </w:r>
    </w:p>
    <w:p>
      <w:pPr>
        <w:pStyle w:val="ListParagraph"/>
        <w:numPr>
          <w:ilvl w:val="0"/>
          <w:numId w:val="2"/>
        </w:numPr>
        <w:spacing w:after="60"/>
      </w:pPr>
      <w:r>
        <w:t xml:space="preserve">South Africa: invoiced on delivery, payable within 30 days. New clients: 50% deposit on commissioning.</w:t>
      </w:r>
    </w:p>
    <w:p>
      <w:pPr>
        <w:pStyle w:val="ListParagraph"/>
        <w:numPr>
          <w:ilvl w:val="0"/>
          <w:numId w:val="2"/>
        </w:numPr>
        <w:spacing w:after="60"/>
      </w:pPr>
      <w:r>
        <w:t xml:space="preserve">International: 50% on commissioning, 50% on delivery.</w:t>
      </w:r>
    </w:p>
    <w:p>
      <w:pPr>
        <w:pStyle w:val="ListParagraph"/>
        <w:numPr>
          <w:ilvl w:val="0"/>
          <w:numId w:val="2"/>
        </w:numPr>
        <w:spacing w:after="60"/>
      </w:pPr>
      <w:r>
        <w:t xml:space="preserve">Scope changes after commissioning are re-quoted, not absorbed.</w:t>
      </w:r>
    </w:p>
    <w:p>
      <w:pPr>
        <w:pStyle w:val="ListParagraph"/>
        <w:numPr>
          <w:ilvl w:val="0"/>
          <w:numId w:val="2"/>
        </w:numPr>
        <w:spacing w:after="60"/>
      </w:pPr>
      <w:r>
        <w:t xml:space="preserve">Messy data is a separate scope item — flagged and quoted before work starts, never silently billed.</w:t>
      </w:r>
    </w:p>
    <w:p>
      <w:pPr>
        <w:pStyle w:val="ListParagraph"/>
        <w:numPr>
          <w:ilvl w:val="0"/>
          <w:numId w:val="2"/>
        </w:numPr>
        <w:spacing w:after="60"/>
      </w:pPr>
      <w:r>
        <w:t xml:space="preserve">Rates reviewed annually. This card is valid to 30 June 2027.</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The Research LampPost (Pty) Ltd · duncan@researchlamppost.co.za</w:t>
    </w:r>
    <w:r>
      <w:rPr>
        <w:sz w:val="16"/>
        <w:szCs w:val="16"/>
      </w:rPr>
      <w:t xml:space="preserve">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6324C"/>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632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2026-07-05T19:20:54.493Z</dcterms:created>
  <dcterms:modified xsi:type="dcterms:W3CDTF">2026-07-05T19:20:54.494Z</dcterms:modified>
</cp:coreProperties>
</file>

<file path=docProps/custom.xml><?xml version="1.0" encoding="utf-8"?>
<Properties xmlns="http://schemas.openxmlformats.org/officeDocument/2006/custom-properties" xmlns:vt="http://schemas.openxmlformats.org/officeDocument/2006/docPropsVTypes"/>
</file>