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251"/>
          <w:sz w:val="44"/>
          <w:szCs w:val="44"/>
        </w:rPr>
        <w:t xml:space="preserve">Turas and AI: staying compliant</w:t>
      </w:r>
    </w:p>
    <w:p>
      <w:pPr>
        <w:spacing w:after="40"/>
      </w:pPr>
      <w:r>
        <w:rPr>
          <w:rFonts w:ascii="Calibri" w:cs="Calibri" w:eastAsia="Calibri" w:hAnsi="Calibri"/>
          <w:color w:val="595959"/>
          <w:sz w:val="24"/>
          <w:szCs w:val="24"/>
        </w:rPr>
        <w:t xml:space="preserve">A plain-English guide to what data goes where in each workflow, and what to do about it.</w:t>
      </w:r>
    </w:p>
    <w:p>
      <w:pPr>
        <w:spacing w:after="240"/>
      </w:pPr>
      <w:r>
        <w:rPr>
          <w:rFonts w:ascii="Calibri" w:cs="Calibri" w:eastAsia="Calibri" w:hAnsi="Calibri"/>
          <w:i/>
          <w:iCs/>
          <w:color w:val="595959"/>
          <w:sz w:val="20"/>
          <w:szCs w:val="20"/>
        </w:rPr>
        <w:t xml:space="preserve">Duncan Brett, The Research LampPost · Terms verified against Anthropic’s published policies on 16 July 2026</w:t>
      </w:r>
    </w:p>
    <w:p>
      <w:pPr>
        <w:pStyle w:val="Heading1"/>
        <w:spacing w:after="160" w:before="360"/>
      </w:pPr>
      <w:r>
        <w:rPr>
          <w:rFonts w:ascii="Calibri" w:cs="Calibri" w:eastAsia="Calibri" w:hAnsi="Calibri"/>
          <w:b/>
          <w:bCs/>
          <w:color w:val="1F3251"/>
          <w:sz w:val="30"/>
          <w:szCs w:val="30"/>
        </w:rPr>
        <w:t xml:space="preserve">The short version</w:t>
      </w:r>
    </w:p>
    <w:p>
      <w:pPr>
        <w:spacing w:after="160" w:line="276"/>
      </w:pPr>
      <w:r>
        <w:rPr>
          <w:rFonts w:ascii="Calibri" w:cs="Calibri" w:eastAsia="Calibri" w:hAnsi="Calibri"/>
          <w:color w:val="222222"/>
          <w:sz w:val="22"/>
          <w:szCs w:val="22"/>
        </w:rPr>
        <w:t xml:space="preserve">Privacy is three separate questions. What happens to the data in practice. What you can promise a client in a contract. And where the data physically sits. Different setups answer different questions, and most confusion comes from mixing them up.</w:t>
      </w:r>
    </w:p>
    <w:p>
      <w:pPr>
        <w:spacing w:after="160" w:line="276"/>
      </w:pPr>
      <w:r>
        <w:rPr>
          <w:rFonts w:ascii="Calibri" w:cs="Calibri" w:eastAsia="Calibri" w:hAnsi="Calibri"/>
          <w:color w:val="222222"/>
          <w:sz w:val="22"/>
          <w:szCs w:val="22"/>
        </w:rPr>
        <w:t xml:space="preserve">There are three tiers of Claude service, and everything in this document comes down to knowing which one a piece of work is running on:</w:t>
      </w:r>
    </w:p>
    <w:p>
      <w:pPr>
        <w:spacing w:after="160" w:line="276"/>
      </w:pPr>
      <w:r>
        <w:rPr>
          <w:rFonts w:ascii="Calibri" w:cs="Calibri" w:eastAsia="Calibri" w:hAnsi="Calibri"/>
          <w:b/>
          <w:bCs/>
          <w:color w:val="222222"/>
          <w:sz w:val="22"/>
          <w:szCs w:val="22"/>
        </w:rPr>
        <w:t xml:space="preserve">The Max subscription (consumer terms). </w:t>
      </w:r>
      <w:r>
        <w:rPr>
          <w:rFonts w:ascii="Calibri" w:cs="Calibri" w:eastAsia="Calibri" w:hAnsi="Calibri"/>
          <w:color w:val="222222"/>
          <w:sz w:val="22"/>
          <w:szCs w:val="22"/>
        </w:rPr>
        <w:t xml:space="preserve">This is Claude Code and claude.ai under your personal login. With the training toggle off, your chats and coding sessions are not used to train models, and deleted conversations are purged from back-end storage within 30 days. Two limits: content flagged by automated safety systems can be kept up to 2 years regardless of the toggle, and there is no data processing agreement — nothing you can cite in a client contract.</w:t>
      </w:r>
    </w:p>
    <w:p>
      <w:pPr>
        <w:spacing w:after="160" w:line="276"/>
      </w:pPr>
      <w:r>
        <w:rPr>
          <w:rFonts w:ascii="Calibri" w:cs="Calibri" w:eastAsia="Calibri" w:hAnsi="Calibri"/>
          <w:b/>
          <w:bCs/>
          <w:color w:val="222222"/>
          <w:sz w:val="22"/>
          <w:szCs w:val="22"/>
        </w:rPr>
        <w:t xml:space="preserve">The API (commercial terms). </w:t>
      </w:r>
      <w:r>
        <w:rPr>
          <w:rFonts w:ascii="Calibri" w:cs="Calibri" w:eastAsia="Calibri" w:hAnsi="Calibri"/>
          <w:color w:val="222222"/>
          <w:sz w:val="22"/>
          <w:szCs w:val="22"/>
        </w:rPr>
        <w:t xml:space="preserve">Anything running on an API key — the Turas report pipeline, or a Claude Code session started with a key instead of the Max login. No training on inputs or outputs by default (contractual, not a toggle), a proper data processing agreement, and 30-day retention as standard. This is the tier you point clients to.</w:t>
      </w:r>
    </w:p>
    <w:p>
      <w:pPr>
        <w:spacing w:after="160" w:line="276"/>
      </w:pPr>
      <w:r>
        <w:rPr>
          <w:rFonts w:ascii="Calibri" w:cs="Calibri" w:eastAsia="Calibri" w:hAnsi="Calibri"/>
          <w:b/>
          <w:bCs/>
          <w:color w:val="222222"/>
          <w:sz w:val="22"/>
          <w:szCs w:val="22"/>
        </w:rPr>
        <w:t xml:space="preserve">AWS Bedrock. </w:t>
      </w:r>
      <w:r>
        <w:rPr>
          <w:rFonts w:ascii="Calibri" w:cs="Calibri" w:eastAsia="Calibri" w:hAnsi="Calibri"/>
          <w:color w:val="222222"/>
          <w:sz w:val="22"/>
          <w:szCs w:val="22"/>
        </w:rPr>
        <w:t xml:space="preserve">The model runs inside an AWS account; prompts and outputs never reach Anthropic’s systems and cannot be trained on. This is the corporate answer for a client whose rules say data may not leave their nominated cloud. Available to offer; not needed for day-to-day TRL work.</w:t>
      </w:r>
    </w:p>
    <w:p>
      <w:pPr>
        <w:spacing w:after="160" w:line="276"/>
      </w:pPr>
      <w:r>
        <w:rPr>
          <w:rFonts w:ascii="Calibri" w:cs="Calibri" w:eastAsia="Calibri" w:hAnsi="Calibri"/>
          <w:color w:val="222222"/>
          <w:sz w:val="22"/>
          <w:szCs w:val="22"/>
        </w:rPr>
        <w:t xml:space="preserve">And one rule sits above all of it:</w:t>
      </w:r>
    </w:p>
    <w:p>
      <w:pPr>
        <w:pBdr>
          <w:left w:val="single" w:color="1F3251" w:sz="12" w:space="8"/>
        </w:pBdr>
        <w:spacing w:after="240" w:before="80" w:line="276"/>
        <w:ind w:left="360"/>
      </w:pPr>
      <w:r>
        <w:rPr>
          <w:rFonts w:ascii="Calibri" w:cs="Calibri" w:eastAsia="Calibri" w:hAnsi="Calibri"/>
          <w:b/>
          <w:bCs/>
          <w:color w:val="1F3251"/>
          <w:sz w:val="23"/>
          <w:szCs w:val="23"/>
        </w:rPr>
        <w:t xml:space="preserve">Respondent-identifiable data never goes to any AI model. Aggregates travel freely under commercial terms. When in doubt, anonymise first.</w:t>
      </w:r>
    </w:p>
    <w:p>
      <w:pPr>
        <w:pStyle w:val="Heading1"/>
        <w:spacing w:after="160" w:before="360"/>
      </w:pPr>
      <w:r>
        <w:rPr>
          <w:rFonts w:ascii="Calibri" w:cs="Calibri" w:eastAsia="Calibri" w:hAnsi="Calibri"/>
          <w:b/>
          <w:bCs/>
          <w:color w:val="1F3251"/>
          <w:sz w:val="30"/>
          <w:szCs w:val="30"/>
        </w:rPr>
        <w:t xml:space="preserve">The seven workflows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500"/>
        <w:gridCol w:w="2626"/>
      </w:tblGrid>
      <w:tr>
        <w:trPr>
          <w:cantSplit/>
        </w:trPr>
        <w:tc>
          <w:tcPr>
            <w:tcW w:type="dxa" w:w="2400"/>
            <w:shd w:fill="1F3251" w:val="clear"/>
            <w:tcMar>
              <w:top w:type="dxa" w:w="80"/>
              <w:left w:type="dxa" w:w="100"/>
              <w:bottom w:type="dxa" w:w="80"/>
              <w:right w:type="dxa" w:w="100"/>
            </w:tcMar>
          </w:tcPr>
          <w:p>
            <w:pPr>
              <w:spacing w:after="0" w:line="252"/>
            </w:pPr>
            <w:r>
              <w:rPr>
                <w:rFonts w:ascii="Calibri" w:cs="Calibri" w:eastAsia="Calibri" w:hAnsi="Calibri"/>
                <w:b/>
                <w:bCs/>
                <w:color w:val="FFFFFF"/>
                <w:sz w:val="19"/>
                <w:szCs w:val="19"/>
              </w:rPr>
              <w:t xml:space="preserve">Workflow</w:t>
            </w:r>
          </w:p>
        </w:tc>
        <w:tc>
          <w:tcPr>
            <w:tcW w:type="dxa" w:w="1500"/>
            <w:shd w:fill="1F3251" w:val="clear"/>
            <w:tcMar>
              <w:top w:type="dxa" w:w="80"/>
              <w:left w:type="dxa" w:w="100"/>
              <w:bottom w:type="dxa" w:w="80"/>
              <w:right w:type="dxa" w:w="100"/>
            </w:tcMar>
          </w:tcPr>
          <w:p>
            <w:pPr>
              <w:spacing w:after="0" w:line="252"/>
            </w:pPr>
            <w:r>
              <w:rPr>
                <w:rFonts w:ascii="Calibri" w:cs="Calibri" w:eastAsia="Calibri" w:hAnsi="Calibri"/>
                <w:b/>
                <w:bCs/>
                <w:color w:val="FFFFFF"/>
                <w:sz w:val="19"/>
                <w:szCs w:val="19"/>
              </w:rPr>
              <w:t xml:space="preserve">Respondent data sent to a model?</w:t>
            </w:r>
          </w:p>
        </w:tc>
        <w:tc>
          <w:tcPr>
            <w:tcW w:type="dxa" w:w="2500"/>
            <w:shd w:fill="1F3251" w:val="clear"/>
            <w:tcMar>
              <w:top w:type="dxa" w:w="80"/>
              <w:left w:type="dxa" w:w="100"/>
              <w:bottom w:type="dxa" w:w="80"/>
              <w:right w:type="dxa" w:w="100"/>
            </w:tcMar>
          </w:tcPr>
          <w:p>
            <w:pPr>
              <w:spacing w:after="0" w:line="252"/>
            </w:pPr>
            <w:r>
              <w:rPr>
                <w:rFonts w:ascii="Calibri" w:cs="Calibri" w:eastAsia="Calibri" w:hAnsi="Calibri"/>
                <w:b/>
                <w:bCs/>
                <w:color w:val="FFFFFF"/>
                <w:sz w:val="19"/>
                <w:szCs w:val="19"/>
              </w:rPr>
              <w:t xml:space="preserve">Service and terms</w:t>
            </w:r>
          </w:p>
        </w:tc>
        <w:tc>
          <w:tcPr>
            <w:tcW w:type="dxa" w:w="2626"/>
            <w:shd w:fill="1F3251" w:val="clear"/>
            <w:tcMar>
              <w:top w:type="dxa" w:w="80"/>
              <w:left w:type="dxa" w:w="100"/>
              <w:bottom w:type="dxa" w:w="80"/>
              <w:right w:type="dxa" w:w="100"/>
            </w:tcMar>
          </w:tcPr>
          <w:p>
            <w:pPr>
              <w:spacing w:after="0" w:line="252"/>
            </w:pPr>
            <w:r>
              <w:rPr>
                <w:rFonts w:ascii="Calibri" w:cs="Calibri" w:eastAsia="Calibri" w:hAnsi="Calibri"/>
                <w:b/>
                <w:bCs/>
                <w:color w:val="FFFFFF"/>
                <w:sz w:val="19"/>
                <w:szCs w:val="19"/>
              </w:rPr>
              <w:t xml:space="preserve">The one thing to do</w:t>
            </w:r>
          </w:p>
        </w:tc>
      </w:tr>
      <w:tr>
        <w:trPr>
          <w:cantSplit/>
        </w:trPr>
        <w:tc>
          <w:tcPr>
            <w:tcW w:type="dxa" w:w="24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1. Turas analysis in R</w:t>
            </w:r>
          </w:p>
        </w:tc>
        <w:tc>
          <w:tcPr>
            <w:tcW w:type="dxa" w:w="15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No — nothing sent at all</w:t>
            </w:r>
          </w:p>
        </w:tc>
        <w:tc>
          <w:tcPr>
            <w:tcW w:type="dxa" w:w="25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None (runs locally)</w:t>
            </w:r>
          </w:p>
        </w:tc>
        <w:tc>
          <w:tcPr>
            <w:tcW w:type="dxa" w:w="2626"/>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Keep client data out of the code repo and out of build sessions.</w:t>
            </w:r>
          </w:p>
        </w:tc>
      </w:tr>
      <w:tr>
        <w:trPr>
          <w:cantSplit/>
        </w:trPr>
        <w:tc>
          <w:tcPr>
            <w:tcW w:type="dxa" w:w="2400"/>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2. Data cleaning in Claude Code</w:t>
            </w:r>
          </w:p>
        </w:tc>
        <w:tc>
          <w:tcPr>
            <w:tcW w:type="dxa" w:w="1500"/>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Some rows, as Claude reads files</w:t>
            </w:r>
          </w:p>
        </w:tc>
        <w:tc>
          <w:tcPr>
            <w:tcW w:type="dxa" w:w="2500"/>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Max subscription — consumer terms, sharing off</w:t>
            </w:r>
          </w:p>
        </w:tc>
        <w:tc>
          <w:tcPr>
            <w:tcW w:type="dxa" w:w="2626"/>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Strip names, phone numbers, emails and ID numbers first. Work through scripts, not pasted data.</w:t>
            </w:r>
          </w:p>
        </w:tc>
      </w:tr>
      <w:tr>
        <w:trPr>
          <w:cantSplit/>
        </w:trPr>
        <w:tc>
          <w:tcPr>
            <w:tcW w:type="dxa" w:w="24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3. Comment theming</w:t>
            </w:r>
          </w:p>
        </w:tc>
        <w:tc>
          <w:tcPr>
            <w:tcW w:type="dxa" w:w="15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Yes — verbatims (anonymised)</w:t>
            </w:r>
          </w:p>
        </w:tc>
        <w:tc>
          <w:tcPr>
            <w:tcW w:type="dxa" w:w="25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API — commercial terms</w:t>
            </w:r>
          </w:p>
        </w:tc>
        <w:tc>
          <w:tcPr>
            <w:tcW w:type="dxa" w:w="2626"/>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ResponseID + verbatim only; redact self-identification inside the text.</w:t>
            </w:r>
          </w:p>
        </w:tc>
      </w:tr>
      <w:tr>
        <w:trPr>
          <w:cantSplit/>
        </w:trPr>
        <w:tc>
          <w:tcPr>
            <w:tcW w:type="dxa" w:w="2400"/>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4. AI insights in Turas reports</w:t>
            </w:r>
          </w:p>
        </w:tc>
        <w:tc>
          <w:tcPr>
            <w:tcW w:type="dxa" w:w="1500"/>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No — aggregate figures only (built in)</w:t>
            </w:r>
          </w:p>
        </w:tc>
        <w:tc>
          <w:tcPr>
            <w:tcW w:type="dxa" w:w="2500"/>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API — commercial terms</w:t>
            </w:r>
          </w:p>
        </w:tc>
        <w:tc>
          <w:tcPr>
            <w:tcW w:type="dxa" w:w="2626"/>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Keep the API key in the environment variable, never in a config file.</w:t>
            </w:r>
          </w:p>
        </w:tc>
      </w:tr>
      <w:tr>
        <w:trPr>
          <w:cantSplit/>
        </w:trPr>
        <w:tc>
          <w:tcPr>
            <w:tcW w:type="dxa" w:w="24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5. Discovery report (general)</w:t>
            </w:r>
          </w:p>
        </w:tc>
        <w:tc>
          <w:tcPr>
            <w:tcW w:type="dxa" w:w="15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No — web research + your brief</w:t>
            </w:r>
          </w:p>
        </w:tc>
        <w:tc>
          <w:tcPr>
            <w:tcW w:type="dxa" w:w="25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Max subscription — consumer terms, sharing off</w:t>
            </w:r>
          </w:p>
        </w:tc>
        <w:tc>
          <w:tcPr>
            <w:tcW w:type="dxa" w:w="2626"/>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Don’t paste confidential client documents in unless the report needs them.</w:t>
            </w:r>
          </w:p>
        </w:tc>
      </w:tr>
      <w:tr>
        <w:trPr>
          <w:cantSplit/>
        </w:trPr>
        <w:tc>
          <w:tcPr>
            <w:tcW w:type="dxa" w:w="2400"/>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6. Discovery report on survey data</w:t>
            </w:r>
          </w:p>
        </w:tc>
        <w:tc>
          <w:tcPr>
            <w:tcW w:type="dxa" w:w="1500"/>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No — feed it aggregate outputs only</w:t>
            </w:r>
          </w:p>
        </w:tc>
        <w:tc>
          <w:tcPr>
            <w:tcW w:type="dxa" w:w="2500"/>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API-key session preferred</w:t>
            </w:r>
          </w:p>
        </w:tc>
        <w:tc>
          <w:tcPr>
            <w:tcW w:type="dxa" w:w="2626"/>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Give it the generated reports and tables, never the raw data file.</w:t>
            </w:r>
          </w:p>
        </w:tc>
      </w:tr>
      <w:tr>
        <w:trPr>
          <w:cantSplit/>
        </w:trPr>
        <w:tc>
          <w:tcPr>
            <w:tcW w:type="dxa" w:w="24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7. Presentation generation</w:t>
            </w:r>
          </w:p>
        </w:tc>
        <w:tc>
          <w:tcPr>
            <w:tcW w:type="dxa" w:w="15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Only if hiding in the deck</w:t>
            </w:r>
          </w:p>
        </w:tc>
        <w:tc>
          <w:tcPr>
            <w:tcW w:type="dxa" w:w="2500"/>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Max subscription or local build</w:t>
            </w:r>
          </w:p>
        </w:tc>
        <w:tc>
          <w:tcPr>
            <w:tcW w:type="dxa" w:w="2626"/>
            <w:shd w:fill="F2F4F8" w:val="clear"/>
            <w:tcMar>
              <w:top w:type="dxa" w:w="80"/>
              <w:left w:type="dxa" w:w="100"/>
              <w:bottom w:type="dxa" w:w="80"/>
              <w:right w:type="dxa" w:w="100"/>
            </w:tcMar>
          </w:tcPr>
          <w:p>
            <w:pPr>
              <w:spacing w:after="0" w:line="252"/>
            </w:pPr>
            <w:r>
              <w:rPr>
                <w:rFonts w:ascii="Calibri" w:cs="Calibri" w:eastAsia="Calibri" w:hAnsi="Calibri"/>
                <w:color w:val="222222"/>
                <w:sz w:val="19"/>
                <w:szCs w:val="19"/>
              </w:rPr>
              <w:t xml:space="preserve">Check embedded chart workbooks (Edit Data) and speaker notes before uploading.</w:t>
            </w:r>
          </w:p>
        </w:tc>
      </w:tr>
    </w:tbl>
    <w:p>
      <w:pPr>
        <w:spacing w:after="200"/>
      </w:pPr>
    </w:p>
    <w:p>
      <w:pPr>
        <w:pStyle w:val="Heading1"/>
        <w:spacing w:after="160" w:before="360"/>
      </w:pPr>
      <w:r>
        <w:rPr>
          <w:rFonts w:ascii="Calibri" w:cs="Calibri" w:eastAsia="Calibri" w:hAnsi="Calibri"/>
          <w:b/>
          <w:bCs/>
          <w:color w:val="1F3251"/>
          <w:sz w:val="30"/>
          <w:szCs w:val="30"/>
        </w:rPr>
        <w:t xml:space="preserve">1. Running Turas in R — no AI at runtime</w:t>
      </w:r>
    </w:p>
    <w:p>
      <w:pPr>
        <w:spacing w:after="80" w:before="60"/>
      </w:pPr>
      <w:r>
        <w:rPr>
          <w:rFonts w:ascii="Calibri" w:cs="Calibri" w:eastAsia="Calibri" w:hAnsi="Calibri"/>
          <w:b/>
          <w:bCs/>
          <w:color w:val="595959"/>
          <w:sz w:val="22"/>
          <w:szCs w:val="22"/>
        </w:rPr>
        <w:t xml:space="preserve">What happens</w:t>
      </w:r>
    </w:p>
    <w:p>
      <w:pPr>
        <w:spacing w:after="160" w:line="276"/>
      </w:pPr>
      <w:r>
        <w:rPr>
          <w:rFonts w:ascii="Calibri" w:cs="Calibri" w:eastAsia="Calibri" w:hAnsi="Calibri"/>
          <w:color w:val="222222"/>
          <w:sz w:val="22"/>
          <w:szCs w:val="22"/>
        </w:rPr>
        <w:t xml:space="preserve">All analysis — crosstabs, weighting, significance testing, tracking, report generation — runs in R on your machine through launch_turas. No AI model is involved and nothing is sent anywhere. AI was used to build the software; the software itself is just code.</w:t>
      </w:r>
    </w:p>
    <w:p>
      <w:pPr>
        <w:spacing w:after="80" w:before="60"/>
      </w:pPr>
      <w:r>
        <w:rPr>
          <w:rFonts w:ascii="Calibri" w:cs="Calibri" w:eastAsia="Calibri" w:hAnsi="Calibri"/>
          <w:b/>
          <w:bCs/>
          <w:color w:val="595959"/>
          <w:sz w:val="22"/>
          <w:szCs w:val="22"/>
        </w:rPr>
        <w:t xml:space="preserve">What leaves your machine</w:t>
      </w:r>
    </w:p>
    <w:p>
      <w:pPr>
        <w:spacing w:after="160" w:line="276"/>
      </w:pPr>
      <w:r>
        <w:rPr>
          <w:rFonts w:ascii="Calibri" w:cs="Calibri" w:eastAsia="Calibri" w:hAnsi="Calibri"/>
          <w:color w:val="222222"/>
          <w:sz w:val="22"/>
          <w:szCs w:val="22"/>
        </w:rPr>
        <w:t xml:space="preserve">Nothing.</w:t>
      </w:r>
    </w:p>
    <w:p>
      <w:pPr>
        <w:spacing w:after="80" w:before="60"/>
      </w:pPr>
      <w:r>
        <w:rPr>
          <w:rFonts w:ascii="Calibri" w:cs="Calibri" w:eastAsia="Calibri" w:hAnsi="Calibri"/>
          <w:b/>
          <w:bCs/>
          <w:color w:val="595959"/>
          <w:sz w:val="22"/>
          <w:szCs w:val="22"/>
        </w:rPr>
        <w:t xml:space="preserve">Steps</w:t>
      </w:r>
    </w:p>
    <w:p>
      <w:pPr>
        <w:pStyle w:val="ListParagraph"/>
        <w:numPr>
          <w:ilvl w:val="0"/>
          <w:numId w:val="2"/>
        </w:numPr>
        <w:spacing w:after="100" w:line="276"/>
      </w:pPr>
      <w:r>
        <w:rPr>
          <w:rFonts w:ascii="Calibri" w:cs="Calibri" w:eastAsia="Calibri" w:hAnsi="Calibri"/>
          <w:color w:val="222222"/>
          <w:sz w:val="22"/>
          <w:szCs w:val="22"/>
        </w:rPr>
        <w:t xml:space="preserve">Nothing AI-specific is required. Ordinary data care applies: project data lives in the client’s project folder, and gets deleted when the retention period ends.</w:t>
      </w:r>
    </w:p>
    <w:p>
      <w:pPr>
        <w:pStyle w:val="ListParagraph"/>
        <w:numPr>
          <w:ilvl w:val="0"/>
          <w:numId w:val="2"/>
        </w:numPr>
        <w:spacing w:after="100" w:line="276"/>
      </w:pPr>
      <w:r>
        <w:rPr>
          <w:rFonts w:ascii="Calibri" w:cs="Calibri" w:eastAsia="Calibri" w:hAnsi="Calibri"/>
          <w:color w:val="222222"/>
          <w:sz w:val="22"/>
          <w:szCs w:val="22"/>
        </w:rPr>
        <w:t xml:space="preserve">Keep client data out of the Turas code repository. The repo holds code and synthetic test data only.</w:t>
      </w:r>
    </w:p>
    <w:p>
      <w:pPr>
        <w:pStyle w:val="ListParagraph"/>
        <w:numPr>
          <w:ilvl w:val="0"/>
          <w:numId w:val="2"/>
        </w:numPr>
        <w:spacing w:after="100" w:line="276"/>
      </w:pPr>
      <w:r>
        <w:rPr>
          <w:rFonts w:ascii="Calibri" w:cs="Calibri" w:eastAsia="Calibri" w:hAnsi="Calibri"/>
          <w:color w:val="222222"/>
          <w:sz w:val="22"/>
          <w:szCs w:val="22"/>
        </w:rPr>
        <w:t xml:space="preserve">When Claude Code is building or fixing Turas, it works on code and synthetic fixtures — never point a build session at a real client dataset as its test case. If a bug only shows on real data, reproduce it with an anonymised extract first.</w:t>
      </w:r>
    </w:p>
    <w:p>
      <w:pPr>
        <w:pBdr>
          <w:left w:val="single" w:color="1F3251" w:sz="12" w:space="8"/>
        </w:pBdr>
        <w:spacing w:after="200" w:before="80" w:line="276"/>
        <w:ind w:left="360"/>
      </w:pPr>
      <w:r>
        <w:rPr>
          <w:rFonts w:ascii="Calibri" w:cs="Calibri" w:eastAsia="Calibri" w:hAnsi="Calibri"/>
          <w:b/>
          <w:bCs/>
          <w:color w:val="1F3251"/>
          <w:sz w:val="22"/>
          <w:szCs w:val="22"/>
        </w:rPr>
        <w:t xml:space="preserve">Say to the client: </w:t>
      </w:r>
      <w:r>
        <w:rPr>
          <w:rFonts w:ascii="Calibri" w:cs="Calibri" w:eastAsia="Calibri" w:hAnsi="Calibri"/>
          <w:i/>
          <w:iCs/>
          <w:color w:val="222222"/>
          <w:sz w:val="22"/>
          <w:szCs w:val="22"/>
        </w:rPr>
        <w:t xml:space="preserve">“The analysis itself runs locally on our systems. No survey data goes to any AI service.”</w:t>
      </w:r>
    </w:p>
    <w:p>
      <w:pPr>
        <w:pStyle w:val="Heading1"/>
        <w:spacing w:after="160" w:before="360"/>
      </w:pPr>
      <w:r>
        <w:rPr>
          <w:rFonts w:ascii="Calibri" w:cs="Calibri" w:eastAsia="Calibri" w:hAnsi="Calibri"/>
          <w:b/>
          <w:bCs/>
          <w:color w:val="1F3251"/>
          <w:sz w:val="30"/>
          <w:szCs w:val="30"/>
        </w:rPr>
        <w:t xml:space="preserve">2. Data cleaning and management in Claude Code</w:t>
      </w:r>
    </w:p>
    <w:p>
      <w:pPr>
        <w:spacing w:after="80" w:before="60"/>
      </w:pPr>
      <w:r>
        <w:rPr>
          <w:rFonts w:ascii="Calibri" w:cs="Calibri" w:eastAsia="Calibri" w:hAnsi="Calibri"/>
          <w:b/>
          <w:bCs/>
          <w:color w:val="595959"/>
          <w:sz w:val="22"/>
          <w:szCs w:val="22"/>
        </w:rPr>
        <w:t xml:space="preserve">What happens</w:t>
      </w:r>
    </w:p>
    <w:p>
      <w:pPr>
        <w:spacing w:after="160" w:line="276"/>
      </w:pPr>
      <w:r>
        <w:rPr>
          <w:rFonts w:ascii="Calibri" w:cs="Calibri" w:eastAsia="Calibri" w:hAnsi="Calibri"/>
          <w:color w:val="222222"/>
          <w:sz w:val="22"/>
          <w:szCs w:val="22"/>
        </w:rPr>
        <w:t xml:space="preserve">Claude Code reads your data files, writes cleaning scripts, runs them, and checks the results. The model sees whatever it reads into the conversation — column names always, plus any rows it opens to inspect.</w:t>
      </w:r>
    </w:p>
    <w:p>
      <w:pPr>
        <w:spacing w:after="80" w:before="60"/>
      </w:pPr>
      <w:r>
        <w:rPr>
          <w:rFonts w:ascii="Calibri" w:cs="Calibri" w:eastAsia="Calibri" w:hAnsi="Calibri"/>
          <w:b/>
          <w:bCs/>
          <w:color w:val="595959"/>
          <w:sz w:val="22"/>
          <w:szCs w:val="22"/>
        </w:rPr>
        <w:t xml:space="preserve">What leaves your machine</w:t>
      </w:r>
    </w:p>
    <w:p>
      <w:pPr>
        <w:spacing w:after="160" w:line="276"/>
      </w:pPr>
      <w:r>
        <w:rPr>
          <w:rFonts w:ascii="Calibri" w:cs="Calibri" w:eastAsia="Calibri" w:hAnsi="Calibri"/>
          <w:color w:val="222222"/>
          <w:sz w:val="22"/>
          <w:szCs w:val="22"/>
        </w:rPr>
        <w:t xml:space="preserve">Whatever Claude reads or prints, sent to Anthropic under your Max subscription (consumer terms, sharing off).</w:t>
      </w:r>
    </w:p>
    <w:p>
      <w:pPr>
        <w:spacing w:after="80" w:before="60"/>
      </w:pPr>
      <w:r>
        <w:rPr>
          <w:rFonts w:ascii="Calibri" w:cs="Calibri" w:eastAsia="Calibri" w:hAnsi="Calibri"/>
          <w:b/>
          <w:bCs/>
          <w:color w:val="595959"/>
          <w:sz w:val="22"/>
          <w:szCs w:val="22"/>
        </w:rPr>
        <w:t xml:space="preserve">Steps</w:t>
      </w:r>
    </w:p>
    <w:p>
      <w:pPr>
        <w:pStyle w:val="ListParagraph"/>
        <w:numPr>
          <w:ilvl w:val="0"/>
          <w:numId w:val="3"/>
        </w:numPr>
        <w:spacing w:after="100" w:line="276"/>
      </w:pPr>
      <w:r>
        <w:rPr>
          <w:rFonts w:ascii="Calibri" w:cs="Calibri" w:eastAsia="Calibri" w:hAnsi="Calibri"/>
          <w:color w:val="222222"/>
          <w:sz w:val="22"/>
          <w:szCs w:val="22"/>
        </w:rPr>
        <w:t xml:space="preserve">Confirm the training toggle is off (claude.ai → Settings → Privacy). Check it once now, and again after any terms update.</w:t>
      </w:r>
    </w:p>
    <w:p>
      <w:pPr>
        <w:pStyle w:val="ListParagraph"/>
        <w:numPr>
          <w:ilvl w:val="0"/>
          <w:numId w:val="3"/>
        </w:numPr>
        <w:spacing w:after="100" w:line="276"/>
      </w:pPr>
      <w:r>
        <w:rPr>
          <w:rFonts w:ascii="Calibri" w:cs="Calibri" w:eastAsia="Calibri" w:hAnsi="Calibri"/>
          <w:color w:val="222222"/>
          <w:sz w:val="22"/>
          <w:szCs w:val="22"/>
        </w:rPr>
        <w:t xml:space="preserve">Strip direct identifiers before the session where you can: names, phone numbers, email addresses, ID numbers. If handling contact data is itself the job, make de-identification step one of the session, before any other work.</w:t>
      </w:r>
    </w:p>
    <w:p>
      <w:pPr>
        <w:pStyle w:val="ListParagraph"/>
        <w:numPr>
          <w:ilvl w:val="0"/>
          <w:numId w:val="3"/>
        </w:numPr>
        <w:spacing w:after="100" w:line="276"/>
      </w:pPr>
      <w:r>
        <w:rPr>
          <w:rFonts w:ascii="Calibri" w:cs="Calibri" w:eastAsia="Calibri" w:hAnsi="Calibri"/>
          <w:color w:val="222222"/>
          <w:sz w:val="22"/>
          <w:szCs w:val="22"/>
        </w:rPr>
        <w:t xml:space="preserve">Work through scripts, not pasted data. Have Claude write and run cleaning scripts, checking results with small previews and aggregate summaries. The script runs locally and processes every row; the model only sees what gets printed.</w:t>
      </w:r>
    </w:p>
    <w:p>
      <w:pPr>
        <w:pStyle w:val="ListParagraph"/>
        <w:numPr>
          <w:ilvl w:val="0"/>
          <w:numId w:val="3"/>
        </w:numPr>
        <w:spacing w:after="100" w:line="276"/>
      </w:pPr>
      <w:r>
        <w:rPr>
          <w:rFonts w:ascii="Calibri" w:cs="Calibri" w:eastAsia="Calibri" w:hAnsi="Calibri"/>
          <w:color w:val="222222"/>
          <w:sz w:val="22"/>
          <w:szCs w:val="22"/>
        </w:rPr>
        <w:t xml:space="preserve">For a genuinely sensitive dataset — medical, financial, employee records — run the session on an API key instead of the Max login. Same tool, commercial terms.</w:t>
      </w:r>
    </w:p>
    <w:p>
      <w:pPr>
        <w:pStyle w:val="ListParagraph"/>
        <w:numPr>
          <w:ilvl w:val="0"/>
          <w:numId w:val="3"/>
        </w:numPr>
        <w:spacing w:after="100" w:line="276"/>
      </w:pPr>
      <w:r>
        <w:rPr>
          <w:rFonts w:ascii="Calibri" w:cs="Calibri" w:eastAsia="Calibri" w:hAnsi="Calibri"/>
          <w:color w:val="222222"/>
          <w:sz w:val="22"/>
          <w:szCs w:val="22"/>
        </w:rPr>
        <w:t xml:space="preserve">Keep all files, raw and cleaned, inside the project folder. Nothing gets written to temporary or shared locations.</w:t>
      </w:r>
    </w:p>
    <w:p>
      <w:pPr>
        <w:pStyle w:val="Heading1"/>
        <w:spacing w:after="160" w:before="360"/>
      </w:pPr>
      <w:r>
        <w:rPr>
          <w:rFonts w:ascii="Calibri" w:cs="Calibri" w:eastAsia="Calibri" w:hAnsi="Calibri"/>
          <w:b/>
          <w:bCs/>
          <w:color w:val="1F3251"/>
          <w:sz w:val="30"/>
          <w:szCs w:val="30"/>
        </w:rPr>
        <w:t xml:space="preserve">3. Comment theming — anonymised</w:t>
      </w:r>
    </w:p>
    <w:p>
      <w:pPr>
        <w:spacing w:after="80" w:before="60"/>
      </w:pPr>
      <w:r>
        <w:rPr>
          <w:rFonts w:ascii="Calibri" w:cs="Calibri" w:eastAsia="Calibri" w:hAnsi="Calibri"/>
          <w:b/>
          <w:bCs/>
          <w:color w:val="595959"/>
          <w:sz w:val="22"/>
          <w:szCs w:val="22"/>
        </w:rPr>
        <w:t xml:space="preserve">What happens</w:t>
      </w:r>
    </w:p>
    <w:p>
      <w:pPr>
        <w:spacing w:after="160" w:line="276"/>
      </w:pPr>
      <w:r>
        <w:rPr>
          <w:rFonts w:ascii="Calibri" w:cs="Calibri" w:eastAsia="Calibri" w:hAnsi="Calibri"/>
          <w:color w:val="222222"/>
          <w:sz w:val="22"/>
          <w:szCs w:val="22"/>
        </w:rPr>
        <w:t xml:space="preserve">Respondent verbatims go to the model to be coded into themes. This is the one workflow where respondent-level text leaves your machine, so it gets the most care in this document.</w:t>
      </w:r>
    </w:p>
    <w:p>
      <w:pPr>
        <w:spacing w:after="80" w:before="60"/>
      </w:pPr>
      <w:r>
        <w:rPr>
          <w:rFonts w:ascii="Calibri" w:cs="Calibri" w:eastAsia="Calibri" w:hAnsi="Calibri"/>
          <w:b/>
          <w:bCs/>
          <w:color w:val="595959"/>
          <w:sz w:val="22"/>
          <w:szCs w:val="22"/>
        </w:rPr>
        <w:t xml:space="preserve">What leaves your machine</w:t>
      </w:r>
    </w:p>
    <w:p>
      <w:pPr>
        <w:spacing w:after="160" w:line="276"/>
      </w:pPr>
      <w:r>
        <w:rPr>
          <w:rFonts w:ascii="Calibri" w:cs="Calibri" w:eastAsia="Calibri" w:hAnsi="Calibri"/>
          <w:color w:val="222222"/>
          <w:sz w:val="22"/>
          <w:szCs w:val="22"/>
        </w:rPr>
        <w:t xml:space="preserve">ResponseIDs and anonymised verbatim text — nothing else.</w:t>
      </w:r>
    </w:p>
    <w:p>
      <w:pPr>
        <w:spacing w:after="80" w:before="60"/>
      </w:pPr>
      <w:r>
        <w:rPr>
          <w:rFonts w:ascii="Calibri" w:cs="Calibri" w:eastAsia="Calibri" w:hAnsi="Calibri"/>
          <w:b/>
          <w:bCs/>
          <w:color w:val="595959"/>
          <w:sz w:val="22"/>
          <w:szCs w:val="22"/>
        </w:rPr>
        <w:t xml:space="preserve">Steps</w:t>
      </w:r>
    </w:p>
    <w:p>
      <w:pPr>
        <w:pStyle w:val="ListParagraph"/>
        <w:numPr>
          <w:ilvl w:val="0"/>
          <w:numId w:val="4"/>
        </w:numPr>
        <w:spacing w:after="100" w:line="276"/>
      </w:pPr>
      <w:r>
        <w:rPr>
          <w:rFonts w:ascii="Calibri" w:cs="Calibri" w:eastAsia="Calibri" w:hAnsi="Calibri"/>
          <w:color w:val="222222"/>
          <w:sz w:val="22"/>
          <w:szCs w:val="22"/>
        </w:rPr>
        <w:t xml:space="preserve">Send only two columns: ResponseID and the verbatim. No demographics, no contact fields, nothing that could be joined back to a person outside your own systems.</w:t>
      </w:r>
    </w:p>
    <w:p>
      <w:pPr>
        <w:pStyle w:val="ListParagraph"/>
        <w:numPr>
          <w:ilvl w:val="0"/>
          <w:numId w:val="4"/>
        </w:numPr>
        <w:spacing w:after="100" w:line="276"/>
      </w:pPr>
      <w:r>
        <w:rPr>
          <w:rFonts w:ascii="Calibri" w:cs="Calibri" w:eastAsia="Calibri" w:hAnsi="Calibri"/>
          <w:color w:val="222222"/>
          <w:sz w:val="22"/>
          <w:szCs w:val="22"/>
        </w:rPr>
        <w:t xml:space="preserve">Anonymise inside the text too. People identify themselves in open ends (“as the branch manager in Knysna…”). Scan and redact names, workplaces, account numbers and locations before theming.</w:t>
      </w:r>
    </w:p>
    <w:p>
      <w:pPr>
        <w:pStyle w:val="ListParagraph"/>
        <w:numPr>
          <w:ilvl w:val="0"/>
          <w:numId w:val="4"/>
        </w:numPr>
        <w:spacing w:after="100" w:line="276"/>
      </w:pPr>
      <w:r>
        <w:rPr>
          <w:rFonts w:ascii="Calibri" w:cs="Calibri" w:eastAsia="Calibri" w:hAnsi="Calibri"/>
          <w:color w:val="222222"/>
          <w:sz w:val="22"/>
          <w:szCs w:val="22"/>
        </w:rPr>
        <w:t xml:space="preserve">Run it under commercial terms — an API key, not the Max subscription. This is respondent data; it gets the contractual tier.</w:t>
      </w:r>
    </w:p>
    <w:p>
      <w:pPr>
        <w:pStyle w:val="ListParagraph"/>
        <w:numPr>
          <w:ilvl w:val="0"/>
          <w:numId w:val="4"/>
        </w:numPr>
        <w:spacing w:after="100" w:line="276"/>
      </w:pPr>
      <w:r>
        <w:rPr>
          <w:rFonts w:ascii="Calibri" w:cs="Calibri" w:eastAsia="Calibri" w:hAnsi="Calibri"/>
          <w:color w:val="222222"/>
          <w:sz w:val="22"/>
          <w:szCs w:val="22"/>
        </w:rPr>
        <w:t xml:space="preserve">The key linking ResponseID to a person stays local. The model only ever sees IDs.</w:t>
      </w:r>
    </w:p>
    <w:p>
      <w:pPr>
        <w:pStyle w:val="ListParagraph"/>
        <w:numPr>
          <w:ilvl w:val="0"/>
          <w:numId w:val="4"/>
        </w:numPr>
        <w:spacing w:after="100" w:line="276"/>
      </w:pPr>
      <w:r>
        <w:rPr>
          <w:rFonts w:ascii="Calibri" w:cs="Calibri" w:eastAsia="Calibri" w:hAnsi="Calibri"/>
          <w:color w:val="222222"/>
          <w:sz w:val="22"/>
          <w:szCs w:val="22"/>
        </w:rPr>
        <w:t xml:space="preserve">In the output, keep the disclosure gate: no theme reported below the minimum base, and any quoted verbatim checked that it cannot identify the person who said it.</w:t>
      </w:r>
    </w:p>
    <w:p>
      <w:pPr>
        <w:spacing w:after="160" w:line="276"/>
      </w:pPr>
      <w:r>
        <w:rPr>
          <w:rFonts w:ascii="Calibri" w:cs="Calibri" w:eastAsia="Calibri" w:hAnsi="Calibri"/>
          <w:color w:val="222222"/>
          <w:sz w:val="22"/>
          <w:szCs w:val="22"/>
        </w:rPr>
        <w:t xml:space="preserve">Done this way, what the model processes is not personal information under POPIA — the steps above are what “properly anonymised” means in practice.</w:t>
      </w:r>
    </w:p>
    <w:p>
      <w:pPr>
        <w:pBdr>
          <w:left w:val="single" w:color="1F3251" w:sz="12" w:space="8"/>
        </w:pBdr>
        <w:spacing w:after="200" w:before="80" w:line="276"/>
        <w:ind w:left="360"/>
      </w:pPr>
      <w:r>
        <w:rPr>
          <w:rFonts w:ascii="Calibri" w:cs="Calibri" w:eastAsia="Calibri" w:hAnsi="Calibri"/>
          <w:b/>
          <w:bCs/>
          <w:color w:val="1F3251"/>
          <w:sz w:val="22"/>
          <w:szCs w:val="22"/>
        </w:rPr>
        <w:t xml:space="preserve">Say to the client: </w:t>
      </w:r>
      <w:r>
        <w:rPr>
          <w:rFonts w:ascii="Calibri" w:cs="Calibri" w:eastAsia="Calibri" w:hAnsi="Calibri"/>
          <w:i/>
          <w:iCs/>
          <w:color w:val="222222"/>
          <w:sz w:val="22"/>
          <w:szCs w:val="22"/>
        </w:rPr>
        <w:t xml:space="preserve">“Open-ended comments are anonymised before AI-assisted coding — identifiers removed, self-identifying details redacted — and processed under commercial terms that prohibit training on the data.”</w:t>
      </w:r>
    </w:p>
    <w:p>
      <w:pPr>
        <w:pStyle w:val="Heading1"/>
        <w:spacing w:after="160" w:before="360"/>
      </w:pPr>
      <w:r>
        <w:rPr>
          <w:rFonts w:ascii="Calibri" w:cs="Calibri" w:eastAsia="Calibri" w:hAnsi="Calibri"/>
          <w:b/>
          <w:bCs/>
          <w:color w:val="1F3251"/>
          <w:sz w:val="30"/>
          <w:szCs w:val="30"/>
        </w:rPr>
        <w:t xml:space="preserve">4. AI insights enabled in Turas reports</w:t>
      </w:r>
    </w:p>
    <w:p>
      <w:pPr>
        <w:spacing w:after="80" w:before="60"/>
      </w:pPr>
      <w:r>
        <w:rPr>
          <w:rFonts w:ascii="Calibri" w:cs="Calibri" w:eastAsia="Calibri" w:hAnsi="Calibri"/>
          <w:b/>
          <w:bCs/>
          <w:color w:val="595959"/>
          <w:sz w:val="22"/>
          <w:szCs w:val="22"/>
        </w:rPr>
        <w:t xml:space="preserve">What happens</w:t>
      </w:r>
    </w:p>
    <w:p>
      <w:pPr>
        <w:spacing w:after="160" w:line="276"/>
      </w:pPr>
      <w:r>
        <w:rPr>
          <w:rFonts w:ascii="Calibri" w:cs="Calibri" w:eastAsia="Calibri" w:hAnsi="Calibri"/>
          <w:color w:val="222222"/>
          <w:sz w:val="22"/>
          <w:szCs w:val="22"/>
        </w:rPr>
        <w:t xml:space="preserve">The Turas pipeline calls the Anthropic API to draft the narrative prose in reports. This path was built for compliance from the start: only aggregate figures are sent — never microdata, never verbatims — every number in the AI’s prose is checked against the crosstab, and if the check fails the report falls back to deterministic text. The generated report states this on its face.</w:t>
      </w:r>
    </w:p>
    <w:p>
      <w:pPr>
        <w:spacing w:after="80" w:before="60"/>
      </w:pPr>
      <w:r>
        <w:rPr>
          <w:rFonts w:ascii="Calibri" w:cs="Calibri" w:eastAsia="Calibri" w:hAnsi="Calibri"/>
          <w:b/>
          <w:bCs/>
          <w:color w:val="595959"/>
          <w:sz w:val="22"/>
          <w:szCs w:val="22"/>
        </w:rPr>
        <w:t xml:space="preserve">What leaves your machine</w:t>
      </w:r>
    </w:p>
    <w:p>
      <w:pPr>
        <w:spacing w:after="160" w:line="276"/>
      </w:pPr>
      <w:r>
        <w:rPr>
          <w:rFonts w:ascii="Calibri" w:cs="Calibri" w:eastAsia="Calibri" w:hAnsi="Calibri"/>
          <w:color w:val="222222"/>
          <w:sz w:val="22"/>
          <w:szCs w:val="22"/>
        </w:rPr>
        <w:t xml:space="preserve">Computed aggregate figures only (percentages, bases, wave labels), under commercial API terms.</w:t>
      </w:r>
    </w:p>
    <w:p>
      <w:pPr>
        <w:spacing w:after="80" w:before="60"/>
      </w:pPr>
      <w:r>
        <w:rPr>
          <w:rFonts w:ascii="Calibri" w:cs="Calibri" w:eastAsia="Calibri" w:hAnsi="Calibri"/>
          <w:b/>
          <w:bCs/>
          <w:color w:val="595959"/>
          <w:sz w:val="22"/>
          <w:szCs w:val="22"/>
        </w:rPr>
        <w:t xml:space="preserve">Steps</w:t>
      </w:r>
    </w:p>
    <w:p>
      <w:pPr>
        <w:pStyle w:val="ListParagraph"/>
        <w:numPr>
          <w:ilvl w:val="0"/>
          <w:numId w:val="5"/>
        </w:numPr>
        <w:spacing w:after="100" w:line="276"/>
      </w:pPr>
      <w:r>
        <w:rPr>
          <w:rFonts w:ascii="Calibri" w:cs="Calibri" w:eastAsia="Calibri" w:hAnsi="Calibri"/>
          <w:color w:val="222222"/>
          <w:sz w:val="22"/>
          <w:szCs w:val="22"/>
        </w:rPr>
        <w:t xml:space="preserve">The API key comes from the Anthropic Console account and lives in the ANTHROPIC_API_KEY environment variable — never in a config file, never in the repo.</w:t>
      </w:r>
    </w:p>
    <w:p>
      <w:pPr>
        <w:pStyle w:val="ListParagraph"/>
        <w:numPr>
          <w:ilvl w:val="0"/>
          <w:numId w:val="5"/>
        </w:numPr>
        <w:spacing w:after="100" w:line="276"/>
      </w:pPr>
      <w:r>
        <w:rPr>
          <w:rFonts w:ascii="Calibri" w:cs="Calibri" w:eastAsia="Calibri" w:hAnsi="Calibri"/>
          <w:color w:val="222222"/>
          <w:sz w:val="22"/>
          <w:szCs w:val="22"/>
        </w:rPr>
        <w:t xml:space="preserve">That is most of it — the pipeline enforces aggregates-only by design. Don’t work around it by adding raw data to configs or prompts.</w:t>
      </w:r>
    </w:p>
    <w:p>
      <w:pPr>
        <w:pStyle w:val="ListParagraph"/>
        <w:numPr>
          <w:ilvl w:val="0"/>
          <w:numId w:val="5"/>
        </w:numPr>
        <w:spacing w:after="100" w:line="276"/>
      </w:pPr>
      <w:r>
        <w:rPr>
          <w:rFonts w:ascii="Calibri" w:cs="Calibri" w:eastAsia="Calibri" w:hAnsi="Calibri"/>
          <w:color w:val="222222"/>
          <w:sz w:val="22"/>
          <w:szCs w:val="22"/>
        </w:rPr>
        <w:t xml:space="preserve">Disclose it in the proposal, one sentence (below). Clients respond better to a plain statement up front than to discovering it later.</w:t>
      </w:r>
    </w:p>
    <w:p>
      <w:pPr>
        <w:pStyle w:val="ListParagraph"/>
        <w:numPr>
          <w:ilvl w:val="0"/>
          <w:numId w:val="5"/>
        </w:numPr>
        <w:spacing w:after="100" w:line="276"/>
      </w:pPr>
      <w:r>
        <w:rPr>
          <w:rFonts w:ascii="Calibri" w:cs="Calibri" w:eastAsia="Calibri" w:hAnsi="Calibri"/>
          <w:color w:val="222222"/>
          <w:sz w:val="22"/>
          <w:szCs w:val="22"/>
        </w:rPr>
        <w:t xml:space="preserve">If a client wants no AI at all: switch the flag off. The report generates with deterministic text instead.</w:t>
      </w:r>
    </w:p>
    <w:p>
      <w:pPr>
        <w:pBdr>
          <w:left w:val="single" w:color="1F3251" w:sz="12" w:space="8"/>
        </w:pBdr>
        <w:spacing w:after="200" w:before="80" w:line="276"/>
        <w:ind w:left="360"/>
      </w:pPr>
      <w:r>
        <w:rPr>
          <w:rFonts w:ascii="Calibri" w:cs="Calibri" w:eastAsia="Calibri" w:hAnsi="Calibri"/>
          <w:b/>
          <w:bCs/>
          <w:color w:val="1F3251"/>
          <w:sz w:val="22"/>
          <w:szCs w:val="22"/>
        </w:rPr>
        <w:t xml:space="preserve">Say to the client: </w:t>
      </w:r>
      <w:r>
        <w:rPr>
          <w:rFonts w:ascii="Calibri" w:cs="Calibri" w:eastAsia="Calibri" w:hAnsi="Calibri"/>
          <w:i/>
          <w:iCs/>
          <w:color w:val="222222"/>
          <w:sz w:val="22"/>
          <w:szCs w:val="22"/>
        </w:rPr>
        <w:t xml:space="preserve">“Report narrative is AI-drafted from aggregate figures only — no individual responses are sent — under commercial terms: no training on our data, deletion within 30 days.”</w:t>
      </w:r>
    </w:p>
    <w:p>
      <w:pPr>
        <w:pStyle w:val="Heading1"/>
        <w:spacing w:after="160" w:before="360"/>
      </w:pPr>
      <w:r>
        <w:rPr>
          <w:rFonts w:ascii="Calibri" w:cs="Calibri" w:eastAsia="Calibri" w:hAnsi="Calibri"/>
          <w:b/>
          <w:bCs/>
          <w:color w:val="1F3251"/>
          <w:sz w:val="30"/>
          <w:szCs w:val="30"/>
        </w:rPr>
        <w:t xml:space="preserve">5. Discovery report — general</w:t>
      </w:r>
    </w:p>
    <w:p>
      <w:pPr>
        <w:spacing w:after="80" w:before="60"/>
      </w:pPr>
      <w:r>
        <w:rPr>
          <w:rFonts w:ascii="Calibri" w:cs="Calibri" w:eastAsia="Calibri" w:hAnsi="Calibri"/>
          <w:b/>
          <w:bCs/>
          <w:color w:val="595959"/>
          <w:sz w:val="22"/>
          <w:szCs w:val="22"/>
        </w:rPr>
        <w:t xml:space="preserve">What happens</w:t>
      </w:r>
    </w:p>
    <w:p>
      <w:pPr>
        <w:spacing w:after="160" w:line="276"/>
      </w:pPr>
      <w:r>
        <w:rPr>
          <w:rFonts w:ascii="Calibri" w:cs="Calibri" w:eastAsia="Calibri" w:hAnsi="Calibri"/>
          <w:color w:val="222222"/>
          <w:sz w:val="22"/>
          <w:szCs w:val="22"/>
        </w:rPr>
        <w:t xml:space="preserve">Claude Code researches the open web and writes a standalone HTML report — a market explainer or a research-framing piece. The evidence is public sources; there is no survey underneath it.</w:t>
      </w:r>
    </w:p>
    <w:p>
      <w:pPr>
        <w:spacing w:after="80" w:before="60"/>
      </w:pPr>
      <w:r>
        <w:rPr>
          <w:rFonts w:ascii="Calibri" w:cs="Calibri" w:eastAsia="Calibri" w:hAnsi="Calibri"/>
          <w:b/>
          <w:bCs/>
          <w:color w:val="595959"/>
          <w:sz w:val="22"/>
          <w:szCs w:val="22"/>
        </w:rPr>
        <w:t xml:space="preserve">What leaves your machine</w:t>
      </w:r>
    </w:p>
    <w:p>
      <w:pPr>
        <w:spacing w:after="160" w:line="276"/>
      </w:pPr>
      <w:r>
        <w:rPr>
          <w:rFonts w:ascii="Calibri" w:cs="Calibri" w:eastAsia="Calibri" w:hAnsi="Calibri"/>
          <w:color w:val="222222"/>
          <w:sz w:val="22"/>
          <w:szCs w:val="22"/>
        </w:rPr>
        <w:t xml:space="preserve">Your brief and the client context. No survey data, no respondent data — there is none in this workflow.</w:t>
      </w:r>
    </w:p>
    <w:p>
      <w:pPr>
        <w:spacing w:after="80" w:before="60"/>
      </w:pPr>
      <w:r>
        <w:rPr>
          <w:rFonts w:ascii="Calibri" w:cs="Calibri" w:eastAsia="Calibri" w:hAnsi="Calibri"/>
          <w:b/>
          <w:bCs/>
          <w:color w:val="595959"/>
          <w:sz w:val="22"/>
          <w:szCs w:val="22"/>
        </w:rPr>
        <w:t xml:space="preserve">Steps</w:t>
      </w:r>
    </w:p>
    <w:p>
      <w:pPr>
        <w:pStyle w:val="ListParagraph"/>
        <w:numPr>
          <w:ilvl w:val="0"/>
          <w:numId w:val="6"/>
        </w:numPr>
        <w:spacing w:after="100" w:line="276"/>
      </w:pPr>
      <w:r>
        <w:rPr>
          <w:rFonts w:ascii="Calibri" w:cs="Calibri" w:eastAsia="Calibri" w:hAnsi="Calibri"/>
          <w:color w:val="222222"/>
          <w:sz w:val="22"/>
          <w:szCs w:val="22"/>
        </w:rPr>
        <w:t xml:space="preserve">The Max subscription with sharing off is adequate here. The payload is commercially confidential at most; nothing personal is involved.</w:t>
      </w:r>
    </w:p>
    <w:p>
      <w:pPr>
        <w:pStyle w:val="ListParagraph"/>
        <w:numPr>
          <w:ilvl w:val="0"/>
          <w:numId w:val="6"/>
        </w:numPr>
        <w:spacing w:after="100" w:line="276"/>
      </w:pPr>
      <w:r>
        <w:rPr>
          <w:rFonts w:ascii="Calibri" w:cs="Calibri" w:eastAsia="Calibri" w:hAnsi="Calibri"/>
          <w:color w:val="222222"/>
          <w:sz w:val="22"/>
          <w:szCs w:val="22"/>
        </w:rPr>
        <w:t xml:space="preserve">Don’t paste confidential client documents (contracts, strategy decks) into the session unless the report genuinely needs them. If the brief itself is highly sensitive, use an API-key session.</w:t>
      </w:r>
    </w:p>
    <w:p>
      <w:pPr>
        <w:pStyle w:val="ListParagraph"/>
        <w:numPr>
          <w:ilvl w:val="0"/>
          <w:numId w:val="6"/>
        </w:numPr>
        <w:spacing w:after="100" w:line="276"/>
      </w:pPr>
      <w:r>
        <w:rPr>
          <w:rFonts w:ascii="Calibri" w:cs="Calibri" w:eastAsia="Calibri" w:hAnsi="Calibri"/>
          <w:color w:val="222222"/>
          <w:sz w:val="22"/>
          <w:szCs w:val="22"/>
        </w:rPr>
        <w:t xml:space="preserve">The report’s own evidence rules do the rest: every figure carries its source, no invented numbers.</w:t>
      </w:r>
    </w:p>
    <w:p>
      <w:pPr>
        <w:pStyle w:val="ListParagraph"/>
        <w:numPr>
          <w:ilvl w:val="0"/>
          <w:numId w:val="6"/>
        </w:numPr>
        <w:spacing w:after="100" w:line="276"/>
      </w:pPr>
      <w:r>
        <w:rPr>
          <w:rFonts w:ascii="Calibri" w:cs="Calibri" w:eastAsia="Calibri" w:hAnsi="Calibri"/>
          <w:color w:val="222222"/>
          <w:sz w:val="22"/>
          <w:szCs w:val="22"/>
        </w:rPr>
        <w:t xml:space="preserve">You review and edit before it goes anywhere. If a client asks how it was produced: AI-assisted desk research, reviewed and edited by you.</w:t>
      </w:r>
    </w:p>
    <w:p>
      <w:pPr>
        <w:pStyle w:val="Heading1"/>
        <w:spacing w:after="160" w:before="360"/>
      </w:pPr>
      <w:r>
        <w:rPr>
          <w:rFonts w:ascii="Calibri" w:cs="Calibri" w:eastAsia="Calibri" w:hAnsi="Calibri"/>
          <w:b/>
          <w:bCs/>
          <w:color w:val="1F3251"/>
          <w:sz w:val="30"/>
          <w:szCs w:val="30"/>
        </w:rPr>
        <w:t xml:space="preserve">6. Discovery report on survey data</w:t>
      </w:r>
    </w:p>
    <w:p>
      <w:pPr>
        <w:spacing w:after="80" w:before="60"/>
      </w:pPr>
      <w:r>
        <w:rPr>
          <w:rFonts w:ascii="Calibri" w:cs="Calibri" w:eastAsia="Calibri" w:hAnsi="Calibri"/>
          <w:b/>
          <w:bCs/>
          <w:color w:val="595959"/>
          <w:sz w:val="22"/>
          <w:szCs w:val="22"/>
        </w:rPr>
        <w:t xml:space="preserve">What happens</w:t>
      </w:r>
    </w:p>
    <w:p>
      <w:pPr>
        <w:spacing w:after="160" w:line="276"/>
      </w:pPr>
      <w:r>
        <w:rPr>
          <w:rFonts w:ascii="Calibri" w:cs="Calibri" w:eastAsia="Calibri" w:hAnsi="Calibri"/>
          <w:color w:val="222222"/>
          <w:sz w:val="22"/>
          <w:szCs w:val="22"/>
        </w:rPr>
        <w:t xml:space="preserve">The same article-style method pointed at your own study — an insight piece drawing on what the survey found, rather than a web-researched explainer.</w:t>
      </w:r>
    </w:p>
    <w:p>
      <w:pPr>
        <w:spacing w:after="80" w:before="60"/>
      </w:pPr>
      <w:r>
        <w:rPr>
          <w:rFonts w:ascii="Calibri" w:cs="Calibri" w:eastAsia="Calibri" w:hAnsi="Calibri"/>
          <w:b/>
          <w:bCs/>
          <w:color w:val="595959"/>
          <w:sz w:val="22"/>
          <w:szCs w:val="22"/>
        </w:rPr>
        <w:t xml:space="preserve">What leaves your machine</w:t>
      </w:r>
    </w:p>
    <w:p>
      <w:pPr>
        <w:spacing w:after="160" w:line="276"/>
      </w:pPr>
      <w:r>
        <w:rPr>
          <w:rFonts w:ascii="Calibri" w:cs="Calibri" w:eastAsia="Calibri" w:hAnsi="Calibri"/>
          <w:color w:val="222222"/>
          <w:sz w:val="22"/>
          <w:szCs w:val="22"/>
        </w:rPr>
        <w:t xml:space="preserve">The Turas outputs you feed it — which is exactly the thing to control.</w:t>
      </w:r>
    </w:p>
    <w:p>
      <w:pPr>
        <w:spacing w:after="80" w:before="60"/>
      </w:pPr>
      <w:r>
        <w:rPr>
          <w:rFonts w:ascii="Calibri" w:cs="Calibri" w:eastAsia="Calibri" w:hAnsi="Calibri"/>
          <w:b/>
          <w:bCs/>
          <w:color w:val="595959"/>
          <w:sz w:val="22"/>
          <w:szCs w:val="22"/>
        </w:rPr>
        <w:t xml:space="preserve">Steps</w:t>
      </w:r>
    </w:p>
    <w:p>
      <w:pPr>
        <w:pStyle w:val="ListParagraph"/>
        <w:numPr>
          <w:ilvl w:val="0"/>
          <w:numId w:val="7"/>
        </w:numPr>
        <w:spacing w:after="100" w:line="276"/>
      </w:pPr>
      <w:r>
        <w:rPr>
          <w:rFonts w:ascii="Calibri" w:cs="Calibri" w:eastAsia="Calibri" w:hAnsi="Calibri"/>
          <w:color w:val="222222"/>
          <w:sz w:val="22"/>
          <w:szCs w:val="22"/>
        </w:rPr>
        <w:t xml:space="preserve">Feed it generated outputs only: the crosstab report, summary tables, the tracking report. Never the raw data file. If it needs a number that isn’t in an output, generate the aggregate first.</w:t>
      </w:r>
    </w:p>
    <w:p>
      <w:pPr>
        <w:pStyle w:val="ListParagraph"/>
        <w:numPr>
          <w:ilvl w:val="0"/>
          <w:numId w:val="7"/>
        </w:numPr>
        <w:spacing w:after="100" w:line="276"/>
      </w:pPr>
      <w:r>
        <w:rPr>
          <w:rFonts w:ascii="Calibri" w:cs="Calibri" w:eastAsia="Calibri" w:hAnsi="Calibri"/>
          <w:color w:val="222222"/>
          <w:sz w:val="22"/>
          <w:szCs w:val="22"/>
        </w:rPr>
        <w:t xml:space="preserve">If verbatim quotes belong in the piece, they go through the workflow 3 anonymisation first.</w:t>
      </w:r>
    </w:p>
    <w:p>
      <w:pPr>
        <w:pStyle w:val="ListParagraph"/>
        <w:numPr>
          <w:ilvl w:val="0"/>
          <w:numId w:val="7"/>
        </w:numPr>
        <w:spacing w:after="100" w:line="276"/>
      </w:pPr>
      <w:r>
        <w:rPr>
          <w:rFonts w:ascii="Calibri" w:cs="Calibri" w:eastAsia="Calibri" w:hAnsi="Calibri"/>
          <w:color w:val="222222"/>
          <w:sz w:val="22"/>
          <w:szCs w:val="22"/>
        </w:rPr>
        <w:t xml:space="preserve">The findings are the client’s asset, so prefer an API-key session for this one. Max with sharing off is the floor, not the target.</w:t>
      </w:r>
    </w:p>
    <w:p>
      <w:pPr>
        <w:pStyle w:val="ListParagraph"/>
        <w:numPr>
          <w:ilvl w:val="0"/>
          <w:numId w:val="7"/>
        </w:numPr>
        <w:spacing w:after="100" w:line="276"/>
      </w:pPr>
      <w:r>
        <w:rPr>
          <w:rFonts w:ascii="Calibri" w:cs="Calibri" w:eastAsia="Calibri" w:hAnsi="Calibri"/>
          <w:color w:val="222222"/>
          <w:sz w:val="22"/>
          <w:szCs w:val="22"/>
        </w:rPr>
        <w:t xml:space="preserve">One evidence regime per document: survey figures cite the survey. If web-researched context is needed, that’s a second, linked document — not mixed into this one.</w:t>
      </w:r>
    </w:p>
    <w:p>
      <w:pPr>
        <w:pStyle w:val="ListParagraph"/>
        <w:numPr>
          <w:ilvl w:val="0"/>
          <w:numId w:val="7"/>
        </w:numPr>
        <w:spacing w:after="100" w:line="276"/>
      </w:pPr>
      <w:r>
        <w:rPr>
          <w:rFonts w:ascii="Calibri" w:cs="Calibri" w:eastAsia="Calibri" w:hAnsi="Calibri"/>
          <w:color w:val="222222"/>
          <w:sz w:val="22"/>
          <w:szCs w:val="22"/>
        </w:rPr>
        <w:t xml:space="preserve">You edit before the client sees it. The session is the editor: reopen it, say what to change, or hand-edit the HTML directly.</w:t>
      </w:r>
    </w:p>
    <w:p>
      <w:pPr>
        <w:pStyle w:val="Heading1"/>
        <w:spacing w:after="160" w:before="360"/>
      </w:pPr>
      <w:r>
        <w:rPr>
          <w:rFonts w:ascii="Calibri" w:cs="Calibri" w:eastAsia="Calibri" w:hAnsi="Calibri"/>
          <w:b/>
          <w:bCs/>
          <w:color w:val="1F3251"/>
          <w:sz w:val="30"/>
          <w:szCs w:val="30"/>
        </w:rPr>
        <w:t xml:space="preserve">7. Presentation generation</w:t>
      </w:r>
    </w:p>
    <w:p>
      <w:pPr>
        <w:spacing w:after="80" w:before="60"/>
      </w:pPr>
      <w:r>
        <w:rPr>
          <w:rFonts w:ascii="Calibri" w:cs="Calibri" w:eastAsia="Calibri" w:hAnsi="Calibri"/>
          <w:b/>
          <w:bCs/>
          <w:color w:val="595959"/>
          <w:sz w:val="22"/>
          <w:szCs w:val="22"/>
        </w:rPr>
        <w:t xml:space="preserve">What happens</w:t>
      </w:r>
    </w:p>
    <w:p>
      <w:pPr>
        <w:spacing w:after="160" w:line="276"/>
      </w:pPr>
      <w:r>
        <w:rPr>
          <w:rFonts w:ascii="Calibri" w:cs="Calibri" w:eastAsia="Calibri" w:hAnsi="Calibri"/>
          <w:color w:val="222222"/>
          <w:sz w:val="22"/>
          <w:szCs w:val="22"/>
        </w:rPr>
        <w:t xml:space="preserve">Two routes: Claude Code builds the PPTX locally from the findings, or you upload a deck to claude.ai to work on it there. Either way the model sees whatever content is in the deck.</w:t>
      </w:r>
    </w:p>
    <w:p>
      <w:pPr>
        <w:spacing w:after="80" w:before="60"/>
      </w:pPr>
      <w:r>
        <w:rPr>
          <w:rFonts w:ascii="Calibri" w:cs="Calibri" w:eastAsia="Calibri" w:hAnsi="Calibri"/>
          <w:b/>
          <w:bCs/>
          <w:color w:val="595959"/>
          <w:sz w:val="22"/>
          <w:szCs w:val="22"/>
        </w:rPr>
        <w:t xml:space="preserve">What leaves your machine</w:t>
      </w:r>
    </w:p>
    <w:p>
      <w:pPr>
        <w:spacing w:after="160" w:line="276"/>
      </w:pPr>
      <w:r>
        <w:rPr>
          <w:rFonts w:ascii="Calibri" w:cs="Calibri" w:eastAsia="Calibri" w:hAnsi="Calibri"/>
          <w:color w:val="222222"/>
          <w:sz w:val="22"/>
          <w:szCs w:val="22"/>
        </w:rPr>
        <w:t xml:space="preserve">The deck’s contents — including parts you can’t see on the slides.</w:t>
      </w:r>
    </w:p>
    <w:p>
      <w:pPr>
        <w:spacing w:after="80" w:before="60"/>
      </w:pPr>
      <w:r>
        <w:rPr>
          <w:rFonts w:ascii="Calibri" w:cs="Calibri" w:eastAsia="Calibri" w:hAnsi="Calibri"/>
          <w:b/>
          <w:bCs/>
          <w:color w:val="595959"/>
          <w:sz w:val="22"/>
          <w:szCs w:val="22"/>
        </w:rPr>
        <w:t xml:space="preserve">Steps</w:t>
      </w:r>
    </w:p>
    <w:p>
      <w:pPr>
        <w:pStyle w:val="ListParagraph"/>
        <w:numPr>
          <w:ilvl w:val="0"/>
          <w:numId w:val="8"/>
        </w:numPr>
        <w:spacing w:after="100" w:line="276"/>
      </w:pPr>
      <w:r>
        <w:rPr>
          <w:rFonts w:ascii="Calibri" w:cs="Calibri" w:eastAsia="Calibri" w:hAnsi="Calibri"/>
          <w:color w:val="222222"/>
          <w:sz w:val="22"/>
          <w:szCs w:val="22"/>
        </w:rPr>
        <w:t xml:space="preserve">Build decks from aggregate findings, so the deck itself contains nothing respondent-level. Then there is nothing sensitive to leak by either route.</w:t>
      </w:r>
    </w:p>
    <w:p>
      <w:pPr>
        <w:pStyle w:val="ListParagraph"/>
        <w:numPr>
          <w:ilvl w:val="0"/>
          <w:numId w:val="8"/>
        </w:numPr>
        <w:spacing w:after="100" w:line="276"/>
      </w:pPr>
      <w:r>
        <w:rPr>
          <w:rFonts w:ascii="Calibri" w:cs="Calibri" w:eastAsia="Calibri" w:hAnsi="Calibri"/>
          <w:color w:val="222222"/>
          <w:sz w:val="22"/>
          <w:szCs w:val="22"/>
        </w:rPr>
        <w:t xml:space="preserve">Check embedded chart data. A PowerPoint chart carries its own embedded workbook (right-click → Edit Data). If a chart was ever made from raw data, those rows travel inside the file — to the model, and to the client. Charts get built from aggregate tables only, and Edit Data gets checked before a deck leaves you.</w:t>
      </w:r>
    </w:p>
    <w:p>
      <w:pPr>
        <w:pStyle w:val="ListParagraph"/>
        <w:numPr>
          <w:ilvl w:val="0"/>
          <w:numId w:val="8"/>
        </w:numPr>
        <w:spacing w:after="100" w:line="276"/>
      </w:pPr>
      <w:r>
        <w:rPr>
          <w:rFonts w:ascii="Calibri" w:cs="Calibri" w:eastAsia="Calibri" w:hAnsi="Calibri"/>
          <w:color w:val="222222"/>
          <w:sz w:val="22"/>
          <w:szCs w:val="22"/>
        </w:rPr>
        <w:t xml:space="preserve">Same check for speaker notes and hidden slides — they upload too.</w:t>
      </w:r>
    </w:p>
    <w:p>
      <w:pPr>
        <w:pStyle w:val="ListParagraph"/>
        <w:numPr>
          <w:ilvl w:val="0"/>
          <w:numId w:val="8"/>
        </w:numPr>
        <w:spacing w:after="100" w:line="276"/>
      </w:pPr>
      <w:r>
        <w:rPr>
          <w:rFonts w:ascii="Calibri" w:cs="Calibri" w:eastAsia="Calibri" w:hAnsi="Calibri"/>
          <w:color w:val="222222"/>
          <w:sz w:val="22"/>
          <w:szCs w:val="22"/>
        </w:rPr>
        <w:t xml:space="preserve">Uploading to claude.ai runs under consumer terms with your sharing toggle; a local Claude Code build sends only what it reads. With an aggregates-only deck, either route is fine.</w:t>
      </w:r>
    </w:p>
    <w:p>
      <w:pPr>
        <w:pStyle w:val="ListParagraph"/>
        <w:numPr>
          <w:ilvl w:val="0"/>
          <w:numId w:val="8"/>
        </w:numPr>
        <w:spacing w:after="100" w:line="276"/>
      </w:pPr>
      <w:r>
        <w:rPr>
          <w:rFonts w:ascii="Calibri" w:cs="Calibri" w:eastAsia="Calibri" w:hAnsi="Calibri"/>
          <w:color w:val="222222"/>
          <w:sz w:val="22"/>
          <w:szCs w:val="22"/>
        </w:rPr>
        <w:t xml:space="preserve">Look at the rendered deck before it goes out. Rendering and reading it is part of the job, not a nicety.</w:t>
      </w:r>
    </w:p>
    <w:p>
      <w:pPr>
        <w:pStyle w:val="Heading1"/>
        <w:spacing w:after="160" w:before="360"/>
      </w:pPr>
      <w:r>
        <w:rPr>
          <w:rFonts w:ascii="Calibri" w:cs="Calibri" w:eastAsia="Calibri" w:hAnsi="Calibri"/>
          <w:b/>
          <w:bCs/>
          <w:color w:val="1F3251"/>
          <w:sz w:val="30"/>
          <w:szCs w:val="30"/>
        </w:rPr>
        <w:t xml:space="preserve">Confidential client work on Max — what is actually at risk</w:t>
      </w:r>
    </w:p>
    <w:p>
      <w:pPr>
        <w:spacing w:after="160" w:line="276"/>
      </w:pPr>
      <w:r>
        <w:rPr>
          <w:rFonts w:ascii="Calibri" w:cs="Calibri" w:eastAsia="Calibri" w:hAnsi="Calibri"/>
          <w:color w:val="222222"/>
          <w:sz w:val="22"/>
          <w:szCs w:val="22"/>
        </w:rPr>
        <w:t xml:space="preserve">The workflows above deal mainly with respondent data. A different question: you are working on a confidential client report — findings, strategy, commercial numbers, nothing personal — in a Max session with sharing off. What is the residual risk?</w:t>
      </w:r>
    </w:p>
    <w:p>
      <w:pPr>
        <w:spacing w:after="160" w:line="276"/>
      </w:pPr>
      <w:r>
        <w:rPr>
          <w:rFonts w:ascii="Calibri" w:cs="Calibri" w:eastAsia="Calibri" w:hAnsi="Calibri"/>
          <w:color w:val="222222"/>
          <w:sz w:val="22"/>
          <w:szCs w:val="22"/>
        </w:rPr>
        <w:t xml:space="preserve">Two risks are already handled. Training: the sharing toggle means your sessions are not used to train models. Personal information: the workflows keep it out or anonymise it first. What remains is smaller, but real:</w:t>
      </w:r>
    </w:p>
    <w:p>
      <w:pPr>
        <w:pStyle w:val="ListParagraph"/>
        <w:numPr>
          <w:ilvl w:val="0"/>
          <w:numId w:val="9"/>
        </w:numPr>
        <w:spacing w:after="100" w:line="276"/>
      </w:pPr>
      <w:r>
        <w:rPr>
          <w:rFonts w:ascii="Calibri" w:cs="Calibri" w:eastAsia="Calibri" w:hAnsi="Calibri"/>
          <w:color w:val="222222"/>
          <w:sz w:val="22"/>
          <w:szCs w:val="22"/>
        </w:rPr>
        <w:t xml:space="preserve">The gap is contractual, not technical. Consumer terms carry no data processing agreement and no business confidentiality undertaking you can point at. If a client NDA says confidential information may only go to third parties under written confidentiality obligations, a consumer AI subscription arguably does not satisfy that clause — regardless of what Anthropic actually does with the data. The realistic exposure is a breach-of-NDA argument on paper, not a leak in practice.</w:t>
      </w:r>
    </w:p>
    <w:p>
      <w:pPr>
        <w:pStyle w:val="ListParagraph"/>
        <w:numPr>
          <w:ilvl w:val="0"/>
          <w:numId w:val="9"/>
        </w:numPr>
        <w:spacing w:after="100" w:line="276"/>
      </w:pPr>
      <w:r>
        <w:rPr>
          <w:rFonts w:ascii="Calibri" w:cs="Calibri" w:eastAsia="Calibri" w:hAnsi="Calibri"/>
          <w:color w:val="222222"/>
          <w:sz w:val="22"/>
          <w:szCs w:val="22"/>
        </w:rPr>
        <w:t xml:space="preserve">The content sits on Anthropic’s servers while the conversation exists, is purged within 30 days of deletion, and can be held up to 2 years if automated safety systems flag it. Anthropic staff can access it in limited circumstances, and a US provider is subject to US legal process. All low-probability; none of it is "never leaves your machine".</w:t>
      </w:r>
    </w:p>
    <w:p>
      <w:pPr>
        <w:pStyle w:val="ListParagraph"/>
        <w:numPr>
          <w:ilvl w:val="0"/>
          <w:numId w:val="9"/>
        </w:numPr>
        <w:spacing w:after="100" w:line="276"/>
      </w:pPr>
      <w:r>
        <w:rPr>
          <w:rFonts w:ascii="Calibri" w:cs="Calibri" w:eastAsia="Calibri" w:hAnsi="Calibri"/>
          <w:color w:val="222222"/>
          <w:sz w:val="22"/>
          <w:szCs w:val="22"/>
        </w:rPr>
        <w:t xml:space="preserve">Your account is the weak point. The chat history holds the client content, so the login is worth protecting: two-factor authentication on, and delete sensitive conversations when the job ends (that starts the 30-day purge).</w:t>
      </w:r>
    </w:p>
    <w:p>
      <w:pPr>
        <w:spacing w:after="160" w:line="276"/>
      </w:pPr>
      <w:r>
        <w:rPr>
          <w:rFonts w:ascii="Calibri" w:cs="Calibri" w:eastAsia="Calibri" w:hAnsi="Calibri"/>
          <w:color w:val="222222"/>
          <w:sz w:val="22"/>
          <w:szCs w:val="22"/>
        </w:rPr>
        <w:t xml:space="preserve">So: are you covered? In practice, yes, for ordinary client work — provided the sharing toggle is off, nothing respondent-identifiable goes in, and your engagement terms disclose AI-assisted analysis (one sentence in the proposal, and the cover then comes from your contract, not Anthropic’s). On paper, thinly: consumer terms were not written for client-confidential work. When the NDA is strict or the content is genuinely hot — unreleased results, board material, anything you would not email to a subcontractor without an NDA — run the session on an API key instead. Same tool, commercial terms, a DPA you can cite.</w:t>
      </w:r>
    </w:p>
    <w:p>
      <w:pPr>
        <w:pStyle w:val="Heading1"/>
        <w:spacing w:after="160" w:before="360"/>
      </w:pPr>
      <w:r>
        <w:rPr>
          <w:rFonts w:ascii="Calibri" w:cs="Calibri" w:eastAsia="Calibri" w:hAnsi="Calibri"/>
          <w:b/>
          <w:bCs/>
          <w:color w:val="1F3251"/>
          <w:sz w:val="30"/>
          <w:szCs w:val="30"/>
        </w:rPr>
        <w:t xml:space="preserve">Starting an API session vs the desktop app</w:t>
      </w:r>
    </w:p>
    <w:p>
      <w:pPr>
        <w:spacing w:after="160" w:line="276"/>
      </w:pPr>
      <w:r>
        <w:rPr>
          <w:rFonts w:ascii="Calibri" w:cs="Calibri" w:eastAsia="Calibri" w:hAnsi="Calibri"/>
          <w:color w:val="222222"/>
          <w:sz w:val="22"/>
          <w:szCs w:val="22"/>
        </w:rPr>
        <w:t xml:space="preserve">One thing to know first: the Claude Code desktop app and claude.ai always run on your Max login — they ignore API keys entirely. An API-billed session means the terminal, not the app.</w:t>
      </w:r>
    </w:p>
    <w:p>
      <w:pPr>
        <w:spacing w:after="80" w:before="60"/>
      </w:pPr>
      <w:r>
        <w:rPr>
          <w:rFonts w:ascii="Calibri" w:cs="Calibri" w:eastAsia="Calibri" w:hAnsi="Calibri"/>
          <w:b/>
          <w:bCs/>
          <w:color w:val="595959"/>
          <w:sz w:val="22"/>
          <w:szCs w:val="22"/>
        </w:rPr>
        <w:t xml:space="preserve">Once-off setup</w:t>
      </w:r>
    </w:p>
    <w:p>
      <w:pPr>
        <w:pStyle w:val="ListParagraph"/>
        <w:numPr>
          <w:ilvl w:val="0"/>
          <w:numId w:val="10"/>
        </w:numPr>
        <w:spacing w:after="100" w:line="276"/>
      </w:pPr>
      <w:r>
        <w:rPr>
          <w:rFonts w:ascii="Calibri" w:cs="Calibri" w:eastAsia="Calibri" w:hAnsi="Calibri"/>
          <w:color w:val="222222"/>
          <w:sz w:val="22"/>
          <w:szCs w:val="22"/>
        </w:rPr>
        <w:t xml:space="preserve">Create the key at console.anthropic.com (it redirects to platform.claude.com): Get API key → name it → copy it immediately — it is shown once. Then Billing → Buy credits (credits expire after a year, so don’t overfund).</w:t>
      </w:r>
    </w:p>
    <w:p>
      <w:pPr>
        <w:pStyle w:val="ListParagraph"/>
        <w:numPr>
          <w:ilvl w:val="0"/>
          <w:numId w:val="10"/>
        </w:numPr>
        <w:spacing w:after="100" w:line="276"/>
      </w:pPr>
      <w:r>
        <w:rPr>
          <w:rFonts w:ascii="Calibri" w:cs="Calibri" w:eastAsia="Calibri" w:hAnsi="Calibri"/>
          <w:color w:val="222222"/>
          <w:sz w:val="22"/>
          <w:szCs w:val="22"/>
        </w:rPr>
        <w:t xml:space="preserve">Store the key in your shell profile or keychain — never in a project file or a repo.</w:t>
      </w:r>
    </w:p>
    <w:p>
      <w:pPr>
        <w:spacing w:after="80" w:before="60"/>
      </w:pPr>
      <w:r>
        <w:rPr>
          <w:rFonts w:ascii="Calibri" w:cs="Calibri" w:eastAsia="Calibri" w:hAnsi="Calibri"/>
          <w:b/>
          <w:bCs/>
          <w:color w:val="595959"/>
          <w:sz w:val="22"/>
          <w:szCs w:val="22"/>
        </w:rPr>
        <w:t xml:space="preserve">Per job</w:t>
      </w:r>
    </w:p>
    <w:p>
      <w:pPr>
        <w:pStyle w:val="ListParagraph"/>
        <w:numPr>
          <w:ilvl w:val="0"/>
          <w:numId w:val="10"/>
        </w:numPr>
        <w:spacing w:after="100" w:line="276"/>
      </w:pPr>
      <w:r>
        <w:rPr>
          <w:rFonts w:ascii="Calibri" w:cs="Calibri" w:eastAsia="Calibri" w:hAnsi="Calibri"/>
          <w:color w:val="222222"/>
          <w:sz w:val="22"/>
          <w:szCs w:val="22"/>
        </w:rPr>
        <w:t xml:space="preserve">For a single API-billed session, open Terminal and prefix the key onto the command:</w:t>
      </w:r>
    </w:p>
    <w:p>
      <w:pPr>
        <w:shd w:fill="EEF0F4" w:val="clear"/>
        <w:spacing w:after="140" w:before="40"/>
        <w:ind w:left="440"/>
      </w:pPr>
      <w:r>
        <w:rPr>
          <w:rFonts w:ascii="Consolas" w:cs="Consolas" w:eastAsia="Consolas" w:hAnsi="Consolas"/>
          <w:color w:val="1F3251"/>
          <w:sz w:val="19"/>
          <w:szCs w:val="19"/>
        </w:rPr>
        <w:t xml:space="preserve">ANTHROPIC_API_KEY="sk-ant-..." claude</w:t>
      </w:r>
    </w:p>
    <w:p>
      <w:pPr>
        <w:pStyle w:val="ListParagraph"/>
        <w:numPr>
          <w:ilvl w:val="0"/>
          <w:numId w:val="10"/>
        </w:numPr>
        <w:spacing w:after="100" w:line="276"/>
      </w:pPr>
      <w:r>
        <w:rPr>
          <w:rFonts w:ascii="Calibri" w:cs="Calibri" w:eastAsia="Calibri" w:hAnsi="Calibri"/>
          <w:color w:val="222222"/>
          <w:sz w:val="22"/>
          <w:szCs w:val="22"/>
        </w:rPr>
        <w:t xml:space="preserve">For a whole terminal session, export it first; every claude run in that window then bills to the key. Unset it to fall back to Max:</w:t>
      </w:r>
    </w:p>
    <w:p>
      <w:pPr>
        <w:shd w:fill="EEF0F4" w:val="clear"/>
        <w:spacing w:after="140" w:before="40"/>
        <w:ind w:left="440"/>
      </w:pPr>
      <w:r>
        <w:rPr>
          <w:rFonts w:ascii="Consolas" w:cs="Consolas" w:eastAsia="Consolas" w:hAnsi="Consolas"/>
          <w:color w:val="1F3251"/>
          <w:sz w:val="19"/>
          <w:szCs w:val="19"/>
        </w:rPr>
        <w:t xml:space="preserve">export ANTHROPIC_API_KEY="sk-ant-..."   → work →   unset ANTHROPIC_API_KEY</w:t>
      </w:r>
    </w:p>
    <w:p>
      <w:pPr>
        <w:pStyle w:val="ListParagraph"/>
        <w:numPr>
          <w:ilvl w:val="0"/>
          <w:numId w:val="10"/>
        </w:numPr>
        <w:spacing w:after="100" w:line="276"/>
      </w:pPr>
      <w:r>
        <w:rPr>
          <w:rFonts w:ascii="Calibri" w:cs="Calibri" w:eastAsia="Calibri" w:hAnsi="Calibri"/>
          <w:color w:val="222222"/>
          <w:sz w:val="22"/>
          <w:szCs w:val="22"/>
        </w:rPr>
        <w:t xml:space="preserve">Confirm which terms you are on before touching client files: run /status inside the session. An "API key" row means commercial terms; a login-method row showing your Max account means consumer terms.</w:t>
      </w:r>
    </w:p>
    <w:p>
      <w:pPr>
        <w:spacing w:after="160" w:line="276"/>
      </w:pPr>
      <w:r>
        <w:rPr>
          <w:rFonts w:ascii="Calibri" w:cs="Calibri" w:eastAsia="Calibri" w:hAnsi="Calibri"/>
          <w:color w:val="222222"/>
          <w:sz w:val="22"/>
          <w:szCs w:val="22"/>
        </w:rPr>
        <w:t xml:space="preserve">Cost note: API sessions are pay-per-token on top of the flat Max fee, so reserve them for the jobs that need the contractual tier — that is the whole point of the two-tier setup.</w:t>
      </w:r>
    </w:p>
    <w:p>
      <w:pPr>
        <w:pStyle w:val="Heading1"/>
        <w:spacing w:after="160" w:before="360"/>
      </w:pPr>
      <w:r>
        <w:rPr>
          <w:rFonts w:ascii="Calibri" w:cs="Calibri" w:eastAsia="Calibri" w:hAnsi="Calibri"/>
          <w:b/>
          <w:bCs/>
          <w:color w:val="1F3251"/>
          <w:sz w:val="30"/>
          <w:szCs w:val="30"/>
        </w:rPr>
        <w:t xml:space="preserve">Keeping this current</w:t>
      </w:r>
    </w:p>
    <w:p>
      <w:pPr>
        <w:spacing w:after="160" w:line="276"/>
      </w:pPr>
      <w:r>
        <w:rPr>
          <w:rFonts w:ascii="Calibri" w:cs="Calibri" w:eastAsia="Calibri" w:hAnsi="Calibri"/>
          <w:color w:val="222222"/>
          <w:sz w:val="22"/>
          <w:szCs w:val="22"/>
        </w:rPr>
        <w:t xml:space="preserve">The terms behind this document were checked on 16 July 2026 against Anthropic’s published consumer terms, the Anthropic Privacy Center, and the Claude-in-Bedrock documentation. Terms change. Three habits keep the document honest:</w:t>
      </w:r>
    </w:p>
    <w:p>
      <w:pPr>
        <w:pStyle w:val="ListParagraph"/>
        <w:numPr>
          <w:ilvl w:val="0"/>
          <w:numId w:val="9"/>
        </w:numPr>
        <w:spacing w:after="100" w:line="276"/>
      </w:pPr>
      <w:r>
        <w:rPr>
          <w:rFonts w:ascii="Calibri" w:cs="Calibri" w:eastAsia="Calibri" w:hAnsi="Calibri"/>
          <w:color w:val="222222"/>
          <w:sz w:val="22"/>
          <w:szCs w:val="22"/>
        </w:rPr>
        <w:t xml:space="preserve">Re-verify before quoting any term in a contract or proposal — especially retention periods and the training default. A ten-minute check beats an inaccurate contractual promise.</w:t>
      </w:r>
    </w:p>
    <w:p>
      <w:pPr>
        <w:pStyle w:val="ListParagraph"/>
        <w:numPr>
          <w:ilvl w:val="0"/>
          <w:numId w:val="9"/>
        </w:numPr>
        <w:spacing w:after="100" w:line="276"/>
      </w:pPr>
      <w:r>
        <w:rPr>
          <w:rFonts w:ascii="Calibri" w:cs="Calibri" w:eastAsia="Calibri" w:hAnsi="Calibri"/>
          <w:color w:val="222222"/>
          <w:sz w:val="22"/>
          <w:szCs w:val="22"/>
        </w:rPr>
        <w:t xml:space="preserve">Check the sharing toggle after any Anthropic terms update. Policy changes have historically arrived with new consent prompts; make sure the answer given was the intended one.</w:t>
      </w:r>
    </w:p>
    <w:p>
      <w:pPr>
        <w:pStyle w:val="ListParagraph"/>
        <w:numPr>
          <w:ilvl w:val="0"/>
          <w:numId w:val="9"/>
        </w:numPr>
        <w:spacing w:after="100" w:line="276"/>
      </w:pPr>
      <w:r>
        <w:rPr>
          <w:rFonts w:ascii="Calibri" w:cs="Calibri" w:eastAsia="Calibri" w:hAnsi="Calibri"/>
          <w:color w:val="222222"/>
          <w:sz w:val="22"/>
          <w:szCs w:val="22"/>
        </w:rPr>
        <w:t xml:space="preserve">If a client’s procurement rules demand more than commercial API terms — data residency, processing inside their own cloud — the answer is Bedrock, offered as an option, priced accordingly.</w:t>
      </w:r>
    </w:p>
    <w:p>
      <w:pPr>
        <w:pBdr>
          <w:bottom w:val="single" w:color="C9D2E0" w:sz="6" w:space="1"/>
        </w:pBdr>
        <w:spacing w:after="120" w:before="120"/>
      </w:pPr>
    </w:p>
    <w:p>
      <w:pPr>
        <w:spacing w:after="60"/>
      </w:pPr>
      <w:r>
        <w:rPr>
          <w:rFonts w:ascii="Calibri" w:cs="Calibri" w:eastAsia="Calibri" w:hAnsi="Calibri"/>
          <w:i/>
          <w:iCs/>
          <w:color w:val="595959"/>
          <w:sz w:val="18"/>
          <w:szCs w:val="18"/>
        </w:rPr>
        <w:t xml:space="preserve">Sources checked (16 July 2026): Anthropic consumer terms update (anthropic.com/news/updates-to-our-consumer-terms) · Anthropic Privacy Center, data retention (privacy.claude.com) · Claude in Amazon Bedrock (platform.claude.com/docs) · AWS Bedrock third-party model terms (aws.amazon.com/legal/bedrock/third-party-models). The aggregates-only claim in workflow 4 was verified directly against the Turas source code (modules/tabs/lib/reader_report/reader_ai_prose.R).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Turas and AI: staying compliant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40" w:hanging="300"/>
      </w:pPr>
    </w:lvl>
  </w:abstractNum>
  <w:abstractNum w:abstractNumId="3" w15:restartNumberingAfterBreak="0">
    <w:multiLevelType w:val="hybridMultilevel"/>
    <w:lvl w:ilvl="0" w15:tentative="1">
      <w:start w:val="1"/>
      <w:numFmt w:val="decimal"/>
      <w:lvlText w:val="%1."/>
      <w:lvlJc w:val="start"/>
      <w:pPr>
        <w:ind w:left="440" w:hanging="300"/>
      </w:pPr>
    </w:lvl>
  </w:abstractNum>
  <w:abstractNum w:abstractNumId="4" w15:restartNumberingAfterBreak="0">
    <w:multiLevelType w:val="hybridMultilevel"/>
    <w:lvl w:ilvl="0" w15:tentative="1">
      <w:start w:val="1"/>
      <w:numFmt w:val="decimal"/>
      <w:lvlText w:val="%1."/>
      <w:lvlJc w:val="start"/>
      <w:pPr>
        <w:ind w:left="440" w:hanging="300"/>
      </w:pPr>
    </w:lvl>
  </w:abstractNum>
  <w:abstractNum w:abstractNumId="5" w15:restartNumberingAfterBreak="0">
    <w:multiLevelType w:val="hybridMultilevel"/>
    <w:lvl w:ilvl="0" w15:tentative="1">
      <w:start w:val="1"/>
      <w:numFmt w:val="decimal"/>
      <w:lvlText w:val="%1."/>
      <w:lvlJc w:val="start"/>
      <w:pPr>
        <w:ind w:left="440" w:hanging="300"/>
      </w:pPr>
    </w:lvl>
  </w:abstractNum>
  <w:abstractNum w:abstractNumId="6" w15:restartNumberingAfterBreak="0">
    <w:multiLevelType w:val="hybridMultilevel"/>
    <w:lvl w:ilvl="0" w15:tentative="1">
      <w:start w:val="1"/>
      <w:numFmt w:val="decimal"/>
      <w:lvlText w:val="%1."/>
      <w:lvlJc w:val="start"/>
      <w:pPr>
        <w:ind w:left="440" w:hanging="300"/>
      </w:pPr>
    </w:lvl>
  </w:abstractNum>
  <w:abstractNum w:abstractNumId="7" w15:restartNumberingAfterBreak="0">
    <w:multiLevelType w:val="hybridMultilevel"/>
    <w:lvl w:ilvl="0" w15:tentative="1">
      <w:start w:val="1"/>
      <w:numFmt w:val="decimal"/>
      <w:lvlText w:val="%1."/>
      <w:lvlJc w:val="start"/>
      <w:pPr>
        <w:ind w:left="440" w:hanging="300"/>
      </w:pPr>
    </w:lvl>
  </w:abstractNum>
  <w:abstractNum w:abstractNumId="8" w15:restartNumberingAfterBreak="0">
    <w:multiLevelType w:val="hybridMultilevel"/>
    <w:lvl w:ilvl="0" w15:tentative="1">
      <w:start w:val="1"/>
      <w:numFmt w:val="decimal"/>
      <w:lvlText w:val="%1."/>
      <w:lvlJc w:val="start"/>
      <w:pPr>
        <w:ind w:left="440" w:hanging="300"/>
      </w:pPr>
    </w:lvl>
  </w:abstractNum>
  <w:abstractNum w:abstractNumId="9" w15:restartNumberingAfterBreak="0">
    <w:multiLevelType w:val="hybridMultilevel"/>
    <w:lvl w:ilvl="0" w15:tentative="1">
      <w:start w:val="1"/>
      <w:numFmt w:val="decimal"/>
      <w:lvlText w:val="%1."/>
      <w:lvlJc w:val="start"/>
      <w:pPr>
        <w:ind w:left="440" w:hanging="300"/>
      </w:pPr>
    </w:lvl>
  </w:abstractNum>
  <w:abstractNum w:abstractNumId="10" w15:restartNumberingAfterBreak="0">
    <w:multiLevelType w:val="hybridMultilevel"/>
    <w:lvl w:ilvl="0" w15:tentative="1">
      <w:start w:val="1"/>
      <w:numFmt w:val="bullet"/>
      <w:lvlText w:val="–"/>
      <w:lvlJc w:val="star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0"/>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2026-07-16T12:30:11.457Z</dcterms:created>
  <dcterms:modified xsi:type="dcterms:W3CDTF">2026-07-16T12:30:11.462Z</dcterms:modified>
</cp:coreProperties>
</file>

<file path=docProps/custom.xml><?xml version="1.0" encoding="utf-8"?>
<Properties xmlns="http://schemas.openxmlformats.org/officeDocument/2006/custom-properties" xmlns:vt="http://schemas.openxmlformats.org/officeDocument/2006/docPropsVTypes"/>
</file>