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7E88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Element 5 — DBA (Distinctive Brand Assets)</w:t>
      </w:r>
    </w:p>
    <w:p w14:paraId="0F1E0B24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0E9E0E7E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Brand assets — logos, colours, characters, shapes, taglines, sonic cues, packaging elements — are the sensory triggers that connect marketing activity to the brand in buyer memory. Effective assets let a brand be recognised </w:t>
      </w:r>
      <w:r w:rsidRPr="00562FE9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without needing to say its name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. Ineffective assets burn marketing spend on executions that don't link back to the brand.</w:t>
      </w:r>
    </w:p>
    <w:p w14:paraId="609EA3E8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Romaniuk's DBA framework measures two dimensions:</w:t>
      </w:r>
    </w:p>
    <w:p w14:paraId="4102D499" w14:textId="77777777" w:rsidR="00562FE9" w:rsidRPr="00562FE9" w:rsidRDefault="00562FE9" w:rsidP="00562FE9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Fame: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What proportion of category buyers recognise the asset at all?</w:t>
      </w:r>
    </w:p>
    <w:p w14:paraId="24A2B8D7" w14:textId="77777777" w:rsidR="00562FE9" w:rsidRPr="00562FE9" w:rsidRDefault="00562FE9" w:rsidP="00562FE9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Uniqueness: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Among those who recognise it, what proportion correctly attribute it to the focal brand (vs misattributing to competitors or being uncertain)?</w:t>
      </w:r>
    </w:p>
    <w:p w14:paraId="1199DFFB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The 2×2 produces four quadrants with direct strategic implications. This is one of Romaniuk's most actionable frameworks — it tells a brand exactly which assets to invest in, which to protect, and which to abandon.</w:t>
      </w:r>
    </w:p>
    <w:p w14:paraId="57326BC9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DBA runs at </w:t>
      </w: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brand level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, not per-category. An IPK logo is an IPK logo regardless of whether the consumer encounters it on frozen vegetables or ready meals. This was locked in Phase 4 Pass 1 (Option C: brand scope by default, config allows category override).</w:t>
      </w:r>
    </w:p>
    <w:p w14:paraId="445DE26C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60C4325B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Per asset:</w:t>
      </w:r>
    </w:p>
    <w:p w14:paraId="61CCC731" w14:textId="77777777" w:rsidR="00562FE9" w:rsidRPr="00562FE9" w:rsidRDefault="00562FE9" w:rsidP="00562FE9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Fame (%) — recognition rate among category buyers</w:t>
      </w:r>
    </w:p>
    <w:p w14:paraId="08027F7E" w14:textId="77777777" w:rsidR="00562FE9" w:rsidRPr="00562FE9" w:rsidRDefault="00562FE9" w:rsidP="00562FE9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Uniqueness (%) — correct brand attribution rate among recognisers</w:t>
      </w:r>
    </w:p>
    <w:p w14:paraId="62E1AC55" w14:textId="77777777" w:rsidR="00562FE9" w:rsidRPr="00562FE9" w:rsidRDefault="00562FE9" w:rsidP="00562FE9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Quadrant position (per Romaniuk's framework):</w:t>
      </w:r>
    </w:p>
    <w:tbl>
      <w:tblPr>
        <w:tblW w:w="90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4172"/>
        <w:gridCol w:w="3979"/>
      </w:tblGrid>
      <w:tr w:rsidR="00562FE9" w:rsidRPr="00562FE9" w14:paraId="35D7B7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D357D" w14:textId="77777777" w:rsidR="00562FE9" w:rsidRPr="00562FE9" w:rsidRDefault="00562FE9" w:rsidP="00562FE9">
            <w:pPr>
              <w:spacing w:after="0" w:line="240" w:lineRule="auto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9B282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High Uniqueness (&gt;threshold)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2049C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Low Uniqueness (≤threshold)</w:t>
            </w:r>
          </w:p>
        </w:tc>
      </w:tr>
      <w:tr w:rsidR="00562FE9" w:rsidRPr="00562FE9" w14:paraId="3E02EA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EFA22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High Fame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EADF1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Use or Lose</w:t>
            </w: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 — widely known AND distinctly ours. Use consistently. If abandoned, competitors may claim.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3A3E1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Avoid Alone</w:t>
            </w: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 — widely known but not distinctly ours. Needs brand name context. Generic asset.</w:t>
            </w:r>
          </w:p>
        </w:tc>
      </w:tr>
      <w:tr w:rsidR="00562FE9" w:rsidRPr="00562FE9" w14:paraId="698A02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757CE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Low Fame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02152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Invest to Build</w:t>
            </w: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 — distinctly ours but not widely known yet. Worth investing in.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B3C6D" w14:textId="77777777" w:rsidR="00562FE9" w:rsidRPr="00562FE9" w:rsidRDefault="00562FE9" w:rsidP="00562FE9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62FE9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:lang w:eastAsia="en-GB"/>
                <w14:ligatures w14:val="none"/>
              </w:rPr>
              <w:t>Ignore or Test</w:t>
            </w:r>
            <w:r w:rsidRPr="00562FE9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 — neither known nor distinctive. Replace or redesign.</w:t>
            </w:r>
          </w:p>
        </w:tc>
      </w:tr>
    </w:tbl>
    <w:p w14:paraId="6E827DB8" w14:textId="77777777" w:rsidR="00562FE9" w:rsidRPr="00562FE9" w:rsidRDefault="00562FE9" w:rsidP="00562FE9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Fame and Uniqueness thresholds default to 50/50 but are configurable in </w:t>
      </w:r>
      <w:proofErr w:type="spellStart"/>
      <w:r w:rsidRPr="00562FE9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dba.fame_threshold</w:t>
      </w:r>
      <w:proofErr w:type="spellEnd"/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and </w:t>
      </w:r>
      <w:proofErr w:type="spellStart"/>
      <w:r w:rsidRPr="00562FE9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dba.uniqueness_threshold</w:t>
      </w:r>
      <w:proofErr w:type="spellEnd"/>
    </w:p>
    <w:p w14:paraId="1F1DE1F9" w14:textId="77777777" w:rsidR="00562FE9" w:rsidRPr="00562FE9" w:rsidRDefault="00562FE9" w:rsidP="00562FE9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Competitive asset comparison (if competitor assets tested alongside)</w:t>
      </w:r>
    </w:p>
    <w:p w14:paraId="5872D71C" w14:textId="77777777" w:rsidR="00562FE9" w:rsidRPr="00562FE9" w:rsidRDefault="00562FE9" w:rsidP="00562FE9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Wave-over-wave trajectory (wave 2+): has the asset moved quadrants?</w:t>
      </w:r>
    </w:p>
    <w:p w14:paraId="48B33C37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1F19EB2A" w14:textId="77777777" w:rsidR="00562FE9" w:rsidRPr="00562FE9" w:rsidRDefault="00562FE9" w:rsidP="00562FE9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section: DBA Grid, asset ranking bars</w:t>
      </w:r>
    </w:p>
    <w:p w14:paraId="405F744A" w14:textId="77777777" w:rsidR="00562FE9" w:rsidRPr="00562FE9" w:rsidRDefault="00562FE9" w:rsidP="00562FE9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asset × metric table, quadrant classification</w:t>
      </w:r>
    </w:p>
    <w:p w14:paraId="28FD000B" w14:textId="77777777" w:rsidR="00562FE9" w:rsidRPr="00562FE9" w:rsidRDefault="00562FE9" w:rsidP="00562FE9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Tracker-ready metric IDs</w:t>
      </w:r>
    </w:p>
    <w:p w14:paraId="0CF77294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0BF33D4F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lastRenderedPageBreak/>
        <w:t>DBA battery (own questions, not in core CBM):</w:t>
      </w:r>
    </w:p>
    <w:p w14:paraId="0D83B341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Per asset, two questions:</w:t>
      </w:r>
    </w:p>
    <w:p w14:paraId="108076E5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Q_FAME:</w:t>
      </w:r>
    </w:p>
    <w:p w14:paraId="2B5DDE19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6E6C68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6E6C68"/>
          <w:kern w:val="0"/>
          <w:sz w:val="20"/>
          <w:szCs w:val="20"/>
          <w:lang w:eastAsia="en-GB"/>
          <w14:ligatures w14:val="none"/>
        </w:rPr>
        <w:t>Show the asset (image, sound clip, phrase) WITHOUT the brand name.</w:t>
      </w:r>
      <w:r w:rsidRPr="00562FE9">
        <w:rPr>
          <w:rFonts w:ascii="Segoe UI" w:eastAsia="Times New Roman" w:hAnsi="Segoe UI" w:cs="Segoe UI"/>
          <w:color w:val="6E6C68"/>
          <w:kern w:val="0"/>
          <w:sz w:val="20"/>
          <w:szCs w:val="20"/>
          <w:lang w:eastAsia="en-GB"/>
          <w14:ligatures w14:val="none"/>
        </w:rPr>
        <w:br/>
        <w:t>"Have you seen [or heard] this before?"</w:t>
      </w:r>
    </w:p>
    <w:p w14:paraId="4B1E33AE" w14:textId="77777777" w:rsidR="00562FE9" w:rsidRPr="00562FE9" w:rsidRDefault="00562FE9" w:rsidP="00562FE9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Yes / No / Not sure</w:t>
      </w:r>
    </w:p>
    <w:p w14:paraId="60B188CE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Q_UNIQUE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(shown if Q_FAME = Yes or Not sure):</w:t>
      </w:r>
    </w:p>
    <w:p w14:paraId="15DA2493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6E6C68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6E6C68"/>
          <w:kern w:val="0"/>
          <w:sz w:val="20"/>
          <w:szCs w:val="20"/>
          <w:lang w:eastAsia="en-GB"/>
          <w14:ligatures w14:val="none"/>
        </w:rPr>
        <w:t>"Which brand do you think this belongs to?"</w:t>
      </w:r>
    </w:p>
    <w:p w14:paraId="6CB9D7CB" w14:textId="77777777" w:rsidR="00562FE9" w:rsidRPr="00562FE9" w:rsidRDefault="00562FE9" w:rsidP="00562FE9">
      <w:pPr>
        <w:numPr>
          <w:ilvl w:val="0"/>
          <w:numId w:val="6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Open-ended text field (Romaniuk recommends open-ended for cleaner uniqueness measurement — forced-choice brand lists inflate uniqueness scores)</w:t>
      </w:r>
    </w:p>
    <w:p w14:paraId="30987006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Programming notes for Jess:</w:t>
      </w:r>
    </w:p>
    <w:p w14:paraId="630E5199" w14:textId="77777777" w:rsidR="00562FE9" w:rsidRPr="00562FE9" w:rsidRDefault="00562FE9" w:rsidP="00562FE9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Each asset is its own screen (image/audio + fame question, then attribution if recognised)</w:t>
      </w:r>
    </w:p>
    <w:p w14:paraId="375D35FF" w14:textId="77777777" w:rsidR="00562FE9" w:rsidRPr="00562FE9" w:rsidRDefault="00562FE9" w:rsidP="00562FE9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Asset presentation order randomised per respondent</w:t>
      </w:r>
    </w:p>
    <w:p w14:paraId="0DED4232" w14:textId="77777777" w:rsidR="00562FE9" w:rsidRPr="00562FE9" w:rsidRDefault="00562FE9" w:rsidP="00562FE9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Assets must be shown WITHOUT any brand identification — strip brand names from logos, show colours without context, play audio without branding</w:t>
      </w:r>
    </w:p>
    <w:p w14:paraId="6211215F" w14:textId="77777777" w:rsidR="00562FE9" w:rsidRPr="00562FE9" w:rsidRDefault="00562FE9" w:rsidP="00562FE9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"Not sure" at fame STILL gets the uniqueness question (uncertain familiarity is a finding)</w:t>
      </w:r>
    </w:p>
    <w:p w14:paraId="463A35F8" w14:textId="77777777" w:rsidR="00562FE9" w:rsidRPr="00562FE9" w:rsidRDefault="00562FE9" w:rsidP="00562FE9">
      <w:pPr>
        <w:numPr>
          <w:ilvl w:val="0"/>
          <w:numId w:val="7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Open-ended attribution is coded post-fieldwork against the brand list + "Don't know" + "Other"</w:t>
      </w:r>
    </w:p>
    <w:p w14:paraId="4235399E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Survey time: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~20–30 seconds per asset. At 8 assets = 3–4 min. At 12 assets = 4–6 min. This is significant — asset count must be deliberate.</w:t>
      </w:r>
    </w:p>
    <w:p w14:paraId="0EF04A07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Typical asset list for a food brand like IPK: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logo, primary colour, packaging shape/design, tagline (if one exists), character/mascot (if one exists), any distinctive sonic or visual advertising element. 6–10 assets is typical for wave 1.</w:t>
      </w:r>
    </w:p>
    <w:p w14:paraId="3354AA0A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Visualisations</w:t>
      </w:r>
    </w:p>
    <w:p w14:paraId="520BFDA6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Primary chart: DBA Grid (2×2 scatter)</w:t>
      </w:r>
    </w:p>
    <w:p w14:paraId="310EB61A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X-axis = Uniqueness (%), Y-axis = Fame (%). Each dot is an asset, directly labelled with the asset name/description. Dot size by recognition base (n). Quadrant lines at configured thresholds. Action-verb quadrant labels.</w:t>
      </w:r>
    </w:p>
    <w:p w14:paraId="1C6CD365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Fame (%)</w:t>
      </w:r>
    </w:p>
    <w:p w14:paraId="15F69C44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100│</w:t>
      </w:r>
    </w:p>
    <w:p w14:paraId="30D596A0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USE OR LOSE          │    AVOID ALONE</w:t>
      </w:r>
    </w:p>
    <w:p w14:paraId="0D003B44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5CEE4996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● Logo (88%, 72%)    │    ● Green colour (75%, 34%)</w:t>
      </w:r>
    </w:p>
    <w:p w14:paraId="3C89EDF0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1279DFFD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● Tagline (62%, 68%) │</w:t>
      </w:r>
    </w:p>
    <w:p w14:paraId="6892B18B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50│─ ─ ─ ─ ─ ─ ─ ─ ─ ─ ─ ─│─ ─ ─ ─ ─ ─ ─ ─ ─ ─ ─ ─ ─</w:t>
      </w:r>
    </w:p>
    <w:p w14:paraId="5EB20A05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6F374A90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INVEST TO BUILD      │    IGNORE OR TEST</w:t>
      </w:r>
    </w:p>
    <w:p w14:paraId="373473F8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7251BC18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● New mascot         │    ● Sonic logo (12%, 22%)</w:t>
      </w:r>
    </w:p>
    <w:p w14:paraId="44A9DE1A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(28%, 81%)         │</w:t>
      </w:r>
    </w:p>
    <w:p w14:paraId="43BA6F2D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6247E21E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lastRenderedPageBreak/>
        <w:t xml:space="preserve">  0└────────────────────────┴───────────────────────── Uniqueness (%)</w:t>
      </w:r>
    </w:p>
    <w:p w14:paraId="7ABA91C1" w14:textId="77777777" w:rsidR="00562FE9" w:rsidRPr="00562FE9" w:rsidRDefault="00562FE9" w:rsidP="00562FE9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0                       50                        100</w:t>
      </w:r>
    </w:p>
    <w:p w14:paraId="627698CA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Annotation: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</w:t>
      </w:r>
      <w:r w:rsidRPr="00562FE9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"IPK's logo is the strongest asset — high fame (88%) and high uniqueness (72%). The green colour is widely recognised (75%) but poorly attributed (34%) — avoid using it without the logo. The new mascot shows early promise: low fame (28%) but high uniqueness (81%) — worth investing in."</w:t>
      </w:r>
    </w:p>
    <w:p w14:paraId="7AD06B00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Secondary chart: Asset ranking bars</w:t>
      </w:r>
    </w:p>
    <w:p w14:paraId="28A5D53D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Dual horizontal bar chart. Left side = Fame (%), right side = Uniqueness (%). Assets sorted by Fame descending. Quick scanning view for clients who want the list, not the grid.</w:t>
      </w:r>
    </w:p>
    <w:p w14:paraId="7CF250C2" w14:textId="77777777" w:rsidR="00562FE9" w:rsidRPr="00562FE9" w:rsidRDefault="00562FE9" w:rsidP="00562FE9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77112D3E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Open-ended attribution is slower to process but more honest.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Forced-choice brand lists inflate uniqueness because respondents guess from the options. Open-ended requires post-fieldwork coding but produces truer uniqueness scores. Worth the effort.</w:t>
      </w:r>
    </w:p>
    <w:p w14:paraId="69018CA5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Asset quality varies enormously.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Some brands have 3 strong assets; others have 1 (the logo) and nothing else. A DBA audit that reveals "you have no distinctive assets beyond your logo" is a genuinely valuable finding — it redirects marketing investment toward asset-building.</w:t>
      </w:r>
    </w:p>
    <w:p w14:paraId="7B7D9025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50% thresholds are guidelines, not science.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Romaniuk uses them as sensible defaults. For categories with many brands and low involvement, 40% may be more appropriate. For dominant-brand categories, 60% may be needed to distinguish. Make thresholds configurable.</w:t>
      </w:r>
    </w:p>
    <w:p w14:paraId="1B0FE576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DBA is expensive in survey time.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8–12 assets × 25 sec = 3–5 min. In a 15-minute survey, that's 20–33% of the budget. For IPK wave 1, if the survey is tight, DBA may be the first element to defer. It's high-value but high-cost. This is exactly why it's config-optional.</w:t>
      </w:r>
    </w:p>
    <w:p w14:paraId="4BE2A9AC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Competitor assets are a bonus, not a requirement.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Testing IPK's assets alone produces a complete DBA audit. Testing competitor assets (e.g., Comp A's logo, Comp B's colour) adds the competitive dimension but doubles the asset count and survey time. For wave 1, IPK-only is sufficient.</w:t>
      </w:r>
    </w:p>
    <w:p w14:paraId="5194021A" w14:textId="77777777" w:rsidR="00562FE9" w:rsidRPr="00562FE9" w:rsidRDefault="00562FE9" w:rsidP="00562FE9">
      <w:pPr>
        <w:numPr>
          <w:ilvl w:val="0"/>
          <w:numId w:val="8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62FE9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Pairings: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Mental Availability (DBA assets are the </w:t>
      </w:r>
      <w:r w:rsidRPr="00562FE9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executional</w:t>
      </w:r>
      <w:r w:rsidRPr="00562FE9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bridge — they're how advertising links to the brand in memory, which in turn builds CEP associations), Tracker (DBA trajectory over waves is one of the most actionable tracking metrics).</w:t>
      </w:r>
    </w:p>
    <w:p w14:paraId="36217863" w14:textId="77777777" w:rsidR="00562FE9" w:rsidRPr="00562FE9" w:rsidRDefault="00562FE9" w:rsidP="00562FE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6B52EE" w14:textId="77777777" w:rsidR="00331669" w:rsidRDefault="00331669"/>
    <w:sectPr w:rsidR="00331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726"/>
    <w:multiLevelType w:val="multilevel"/>
    <w:tmpl w:val="864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60643"/>
    <w:multiLevelType w:val="multilevel"/>
    <w:tmpl w:val="F55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25F26"/>
    <w:multiLevelType w:val="multilevel"/>
    <w:tmpl w:val="0E3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F05563"/>
    <w:multiLevelType w:val="multilevel"/>
    <w:tmpl w:val="136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BC421B"/>
    <w:multiLevelType w:val="multilevel"/>
    <w:tmpl w:val="913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F2FAE"/>
    <w:multiLevelType w:val="multilevel"/>
    <w:tmpl w:val="B60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A52D68"/>
    <w:multiLevelType w:val="multilevel"/>
    <w:tmpl w:val="69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C80BC9"/>
    <w:multiLevelType w:val="multilevel"/>
    <w:tmpl w:val="9A8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1496407">
    <w:abstractNumId w:val="4"/>
  </w:num>
  <w:num w:numId="2" w16cid:durableId="1932470773">
    <w:abstractNumId w:val="3"/>
  </w:num>
  <w:num w:numId="3" w16cid:durableId="304431635">
    <w:abstractNumId w:val="2"/>
  </w:num>
  <w:num w:numId="4" w16cid:durableId="1967466331">
    <w:abstractNumId w:val="1"/>
  </w:num>
  <w:num w:numId="5" w16cid:durableId="1174762996">
    <w:abstractNumId w:val="7"/>
  </w:num>
  <w:num w:numId="6" w16cid:durableId="1394622784">
    <w:abstractNumId w:val="5"/>
  </w:num>
  <w:num w:numId="7" w16cid:durableId="1324629032">
    <w:abstractNumId w:val="6"/>
  </w:num>
  <w:num w:numId="8" w16cid:durableId="110916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E9"/>
    <w:rsid w:val="000116FC"/>
    <w:rsid w:val="002A7748"/>
    <w:rsid w:val="00331669"/>
    <w:rsid w:val="00562FE9"/>
    <w:rsid w:val="008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596168"/>
  <w15:chartTrackingRefBased/>
  <w15:docId w15:val="{EAD5CC45-8032-FA4A-8189-2675C02A7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E9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56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62FE9"/>
    <w:rPr>
      <w:i/>
      <w:iCs/>
    </w:rPr>
  </w:style>
  <w:style w:type="paragraph" w:customStyle="1" w:styleId="mb-var--p5">
    <w:name w:val="mb-[var(--p5)]"/>
    <w:basedOn w:val="Normal"/>
    <w:rsid w:val="0056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62F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2F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F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971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2026-04-16T21:29:00Z</dcterms:created>
  <dcterms:modified xsi:type="dcterms:W3CDTF">2026-04-16T21:30:00Z</dcterms:modified>
</cp:coreProperties>
</file>