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7FEBF" w14:textId="77777777" w:rsidR="00323B15" w:rsidRPr="00323B15" w:rsidRDefault="00323B15" w:rsidP="00323B15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60" w:line="285" w:lineRule="atLeast"/>
        <w:outlineLvl w:val="1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323B15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Element 3 — Repertoire</w:t>
      </w:r>
    </w:p>
    <w:p w14:paraId="2D84D10F" w14:textId="77777777" w:rsidR="00323B15" w:rsidRPr="00323B15" w:rsidRDefault="00323B15" w:rsidP="00323B15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60" w:line="285" w:lineRule="atLeast"/>
        <w:outlineLvl w:val="2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323B15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Why this element exists</w:t>
      </w:r>
    </w:p>
    <w:p w14:paraId="5B5506F6" w14:textId="77777777" w:rsidR="00323B15" w:rsidRPr="00323B15" w:rsidRDefault="00323B15" w:rsidP="00323B15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15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323B15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Repertoire analysis answers: </w:t>
      </w:r>
      <w:r w:rsidRPr="00323B15">
        <w:rPr>
          <w:rFonts w:ascii="Segoe UI" w:eastAsia="Times New Roman" w:hAnsi="Segoe UI" w:cs="Segoe UI"/>
          <w:i/>
          <w:iCs/>
          <w:color w:val="0A0A0A"/>
          <w:kern w:val="0"/>
          <w:sz w:val="20"/>
          <w:szCs w:val="20"/>
          <w:bdr w:val="single" w:sz="2" w:space="0" w:color="1F1F1E" w:frame="1"/>
          <w:lang w:eastAsia="en-GB"/>
          <w14:ligatures w14:val="none"/>
        </w:rPr>
        <w:t>"How many brands does a category buyer actually use, and how is their buying distributed?"</w:t>
      </w:r>
    </w:p>
    <w:p w14:paraId="67F8F563" w14:textId="77777777" w:rsidR="00323B15" w:rsidRPr="00323B15" w:rsidRDefault="00323B15" w:rsidP="00323B15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15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323B15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 xml:space="preserve">In EBI theory, most category buyers are "polygamous </w:t>
      </w:r>
      <w:proofErr w:type="spellStart"/>
      <w:r w:rsidRPr="00323B15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loyals</w:t>
      </w:r>
      <w:proofErr w:type="spellEnd"/>
      <w:r w:rsidRPr="00323B15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" — they buy from a repertoire of 2–5 brands with varying frequency. True single-brand loyalty is rare outside some durable/service categories. This is one of the most consistently replicated findings in marketing science.</w:t>
      </w:r>
    </w:p>
    <w:p w14:paraId="54EAD7FE" w14:textId="77777777" w:rsidR="00323B15" w:rsidRPr="00323B15" w:rsidRDefault="00323B15" w:rsidP="00323B15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15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323B15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For IPK as a portfolio brand, repertoire analysis reveals:</w:t>
      </w:r>
    </w:p>
    <w:p w14:paraId="506CFCDF" w14:textId="77777777" w:rsidR="00323B15" w:rsidRPr="00323B15" w:rsidRDefault="00323B15" w:rsidP="00323B15">
      <w:pPr>
        <w:numPr>
          <w:ilvl w:val="0"/>
          <w:numId w:val="1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323B15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How many brands compete for IPK's buyers' wallets in each category?</w:t>
      </w:r>
    </w:p>
    <w:p w14:paraId="002DC970" w14:textId="77777777" w:rsidR="00323B15" w:rsidRPr="00323B15" w:rsidRDefault="00323B15" w:rsidP="00323B15">
      <w:pPr>
        <w:numPr>
          <w:ilvl w:val="0"/>
          <w:numId w:val="1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323B15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What is IPK's share of requirements (share of wallet) among its own buyers?</w:t>
      </w:r>
    </w:p>
    <w:p w14:paraId="779579AB" w14:textId="77777777" w:rsidR="00323B15" w:rsidRPr="00323B15" w:rsidRDefault="00323B15" w:rsidP="00323B15">
      <w:pPr>
        <w:numPr>
          <w:ilvl w:val="0"/>
          <w:numId w:val="1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323B15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Is IPK a repertoire brand (bought alongside others) or a primary brand (dominates its buyers' category spend)?</w:t>
      </w:r>
    </w:p>
    <w:p w14:paraId="3C6986DD" w14:textId="77777777" w:rsidR="00323B15" w:rsidRPr="00323B15" w:rsidRDefault="00323B15" w:rsidP="00323B15">
      <w:pPr>
        <w:numPr>
          <w:ilvl w:val="0"/>
          <w:numId w:val="1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323B15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For DUR/SERV categories: what does the switching pattern look like?</w:t>
      </w:r>
    </w:p>
    <w:p w14:paraId="3767AA2C" w14:textId="77777777" w:rsidR="00323B15" w:rsidRPr="00323B15" w:rsidRDefault="00323B15" w:rsidP="00323B15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60" w:line="285" w:lineRule="atLeast"/>
        <w:outlineLvl w:val="2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323B15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What you get</w:t>
      </w:r>
    </w:p>
    <w:p w14:paraId="1EF82451" w14:textId="77777777" w:rsidR="00323B15" w:rsidRPr="00323B15" w:rsidRDefault="00323B15" w:rsidP="00323B15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15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323B15">
        <w:rPr>
          <w:rFonts w:ascii="Segoe UI" w:eastAsia="Times New Roman" w:hAnsi="Segoe UI" w:cs="Segoe UI"/>
          <w:b/>
          <w:bCs/>
          <w:color w:val="0A0A0A"/>
          <w:kern w:val="0"/>
          <w:sz w:val="20"/>
          <w:szCs w:val="20"/>
          <w:bdr w:val="single" w:sz="2" w:space="0" w:color="1F1F1E" w:frame="1"/>
          <w:lang w:eastAsia="en-GB"/>
          <w14:ligatures w14:val="none"/>
        </w:rPr>
        <w:t>Per category:</w:t>
      </w:r>
    </w:p>
    <w:p w14:paraId="3095F219" w14:textId="77777777" w:rsidR="00323B15" w:rsidRPr="00323B15" w:rsidRDefault="00323B15" w:rsidP="00323B15">
      <w:pPr>
        <w:numPr>
          <w:ilvl w:val="0"/>
          <w:numId w:val="2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323B15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Average repertoire size (mean + distribution across buyers)</w:t>
      </w:r>
    </w:p>
    <w:p w14:paraId="0375652E" w14:textId="77777777" w:rsidR="00323B15" w:rsidRPr="00323B15" w:rsidRDefault="00323B15" w:rsidP="00323B15">
      <w:pPr>
        <w:numPr>
          <w:ilvl w:val="0"/>
          <w:numId w:val="2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323B15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Share of requirements: among IPK buyers, what % of their category purchases are IPK? (TRANS only — frequency data enables this)</w:t>
      </w:r>
    </w:p>
    <w:p w14:paraId="49B73CC0" w14:textId="77777777" w:rsidR="00323B15" w:rsidRPr="00323B15" w:rsidRDefault="00323B15" w:rsidP="00323B15">
      <w:pPr>
        <w:numPr>
          <w:ilvl w:val="0"/>
          <w:numId w:val="2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323B15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Sole loyalty rate: % of IPK buyers who bought IPK exclusively in the target period</w:t>
      </w:r>
    </w:p>
    <w:p w14:paraId="15A25D95" w14:textId="77777777" w:rsidR="00323B15" w:rsidRPr="00323B15" w:rsidRDefault="00323B15" w:rsidP="00323B15">
      <w:pPr>
        <w:numPr>
          <w:ilvl w:val="0"/>
          <w:numId w:val="2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323B15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Shared loyalty profile: among IPK buyers who buy other brands too, which brands co-occur most?</w:t>
      </w:r>
    </w:p>
    <w:p w14:paraId="10ECC9B7" w14:textId="77777777" w:rsidR="00323B15" w:rsidRPr="00323B15" w:rsidRDefault="00323B15" w:rsidP="00323B15">
      <w:pPr>
        <w:numPr>
          <w:ilvl w:val="0"/>
          <w:numId w:val="2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323B15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Category buyer classification: light / medium / heavy buyers (from Category Buying data)</w:t>
      </w:r>
    </w:p>
    <w:p w14:paraId="670327E0" w14:textId="77777777" w:rsidR="00323B15" w:rsidRPr="00323B15" w:rsidRDefault="00323B15" w:rsidP="00323B15">
      <w:pPr>
        <w:numPr>
          <w:ilvl w:val="0"/>
          <w:numId w:val="2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323B15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For DUR/SERV: tenure distribution, prior brand switching matrix</w:t>
      </w:r>
    </w:p>
    <w:p w14:paraId="7F1DB7A1" w14:textId="77777777" w:rsidR="00323B15" w:rsidRPr="00323B15" w:rsidRDefault="00323B15" w:rsidP="00323B15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15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323B15">
        <w:rPr>
          <w:rFonts w:ascii="Segoe UI" w:eastAsia="Times New Roman" w:hAnsi="Segoe UI" w:cs="Segoe UI"/>
          <w:b/>
          <w:bCs/>
          <w:color w:val="0A0A0A"/>
          <w:kern w:val="0"/>
          <w:sz w:val="20"/>
          <w:szCs w:val="20"/>
          <w:bdr w:val="single" w:sz="2" w:space="0" w:color="1F1F1E" w:frame="1"/>
          <w:lang w:eastAsia="en-GB"/>
          <w14:ligatures w14:val="none"/>
        </w:rPr>
        <w:t>Cross-category</w:t>
      </w:r>
      <w:r w:rsidRPr="00323B15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 (feeds Portfolio):</w:t>
      </w:r>
    </w:p>
    <w:p w14:paraId="321A93F9" w14:textId="77777777" w:rsidR="00323B15" w:rsidRPr="00323B15" w:rsidRDefault="00323B15" w:rsidP="00323B15">
      <w:pPr>
        <w:numPr>
          <w:ilvl w:val="0"/>
          <w:numId w:val="3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323B15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Cross-category buying overlap: do IPK frozen veg buyers also buy IPK ready meals? (Multi-category only)</w:t>
      </w:r>
    </w:p>
    <w:p w14:paraId="40AB944B" w14:textId="77777777" w:rsidR="00323B15" w:rsidRPr="00323B15" w:rsidRDefault="00323B15" w:rsidP="00323B15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15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323B15">
        <w:rPr>
          <w:rFonts w:ascii="Segoe UI" w:eastAsia="Times New Roman" w:hAnsi="Segoe UI" w:cs="Segoe UI"/>
          <w:b/>
          <w:bCs/>
          <w:color w:val="0A0A0A"/>
          <w:kern w:val="0"/>
          <w:sz w:val="20"/>
          <w:szCs w:val="20"/>
          <w:bdr w:val="single" w:sz="2" w:space="0" w:color="1F1F1E" w:frame="1"/>
          <w:lang w:eastAsia="en-GB"/>
          <w14:ligatures w14:val="none"/>
        </w:rPr>
        <w:t>Outputs:</w:t>
      </w:r>
    </w:p>
    <w:p w14:paraId="1164DD1D" w14:textId="77777777" w:rsidR="00323B15" w:rsidRPr="00323B15" w:rsidRDefault="00323B15" w:rsidP="00323B15">
      <w:pPr>
        <w:numPr>
          <w:ilvl w:val="0"/>
          <w:numId w:val="4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323B15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HTML section with 3–4 charts per category</w:t>
      </w:r>
    </w:p>
    <w:p w14:paraId="6583492C" w14:textId="77777777" w:rsidR="00323B15" w:rsidRPr="00323B15" w:rsidRDefault="00323B15" w:rsidP="00323B15">
      <w:pPr>
        <w:numPr>
          <w:ilvl w:val="0"/>
          <w:numId w:val="4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323B15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Excel: repertoire size distribution, share of requirements table, overlap matrix</w:t>
      </w:r>
    </w:p>
    <w:p w14:paraId="789AFA31" w14:textId="77777777" w:rsidR="00323B15" w:rsidRPr="00323B15" w:rsidRDefault="00323B15" w:rsidP="00323B15">
      <w:pPr>
        <w:numPr>
          <w:ilvl w:val="0"/>
          <w:numId w:val="4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323B15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CSV: buyer-level repertoire data</w:t>
      </w:r>
    </w:p>
    <w:p w14:paraId="6C7D2881" w14:textId="77777777" w:rsidR="00323B15" w:rsidRPr="00323B15" w:rsidRDefault="00323B15" w:rsidP="00323B15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60" w:line="285" w:lineRule="atLeast"/>
        <w:outlineLvl w:val="2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323B15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Required batteries</w:t>
      </w:r>
    </w:p>
    <w:p w14:paraId="1887BCB3" w14:textId="77777777" w:rsidR="00323B15" w:rsidRPr="00323B15" w:rsidRDefault="00323B15" w:rsidP="00323B15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15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323B15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Core batteries: Brand Penetration (target timeframe + frequency for TRANS; ownership + tenure + prior brand for DUR/SERV) + Category Buying. </w:t>
      </w:r>
      <w:r w:rsidRPr="00323B15">
        <w:rPr>
          <w:rFonts w:ascii="Segoe UI" w:eastAsia="Times New Roman" w:hAnsi="Segoe UI" w:cs="Segoe UI"/>
          <w:b/>
          <w:bCs/>
          <w:color w:val="0A0A0A"/>
          <w:kern w:val="0"/>
          <w:sz w:val="20"/>
          <w:szCs w:val="20"/>
          <w:bdr w:val="single" w:sz="2" w:space="0" w:color="1F1F1E" w:frame="1"/>
          <w:lang w:eastAsia="en-GB"/>
          <w14:ligatures w14:val="none"/>
        </w:rPr>
        <w:t>No additional questions.</w:t>
      </w:r>
    </w:p>
    <w:p w14:paraId="2A5EDECB" w14:textId="77777777" w:rsidR="00323B15" w:rsidRPr="00323B15" w:rsidRDefault="00323B15" w:rsidP="00323B15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60" w:line="285" w:lineRule="atLeast"/>
        <w:outlineLvl w:val="2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323B15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Visualisations</w:t>
      </w:r>
    </w:p>
    <w:p w14:paraId="1495DB54" w14:textId="77777777" w:rsidR="00323B15" w:rsidRPr="00323B15" w:rsidRDefault="00323B15" w:rsidP="00323B15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15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323B15">
        <w:rPr>
          <w:rFonts w:ascii="Segoe UI" w:eastAsia="Times New Roman" w:hAnsi="Segoe UI" w:cs="Segoe UI"/>
          <w:b/>
          <w:bCs/>
          <w:color w:val="0A0A0A"/>
          <w:kern w:val="0"/>
          <w:sz w:val="20"/>
          <w:szCs w:val="20"/>
          <w:bdr w:val="single" w:sz="2" w:space="0" w:color="1F1F1E" w:frame="1"/>
          <w:lang w:eastAsia="en-GB"/>
          <w14:ligatures w14:val="none"/>
        </w:rPr>
        <w:t>Primary chart: Repertoire size distribution</w:t>
      </w:r>
    </w:p>
    <w:p w14:paraId="540BE73A" w14:textId="77777777" w:rsidR="00323B15" w:rsidRPr="00323B15" w:rsidRDefault="00323B15" w:rsidP="00323B15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15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323B15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Histogram or bar chart showing the % of category buyers buying 1, 2, 3, 4, 5+ brands in the target period.</w:t>
      </w:r>
    </w:p>
    <w:p w14:paraId="67B2815F" w14:textId="77777777" w:rsidR="00323B15" w:rsidRPr="00323B15" w:rsidRDefault="00323B15" w:rsidP="00323B15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</w:pPr>
      <w:r w:rsidRPr="00323B15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  <w:lastRenderedPageBreak/>
        <w:t>Brands bought (past 3 months) — Frozen Vegetables</w:t>
      </w:r>
    </w:p>
    <w:p w14:paraId="461A0988" w14:textId="77777777" w:rsidR="00323B15" w:rsidRPr="00323B15" w:rsidRDefault="00323B15" w:rsidP="00323B15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</w:pPr>
      <w:r w:rsidRPr="00323B15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  <w:t xml:space="preserve">  1 brand     ████████████████████████  34%</w:t>
      </w:r>
    </w:p>
    <w:p w14:paraId="6FEC6F16" w14:textId="77777777" w:rsidR="00323B15" w:rsidRPr="00323B15" w:rsidRDefault="00323B15" w:rsidP="00323B15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</w:pPr>
      <w:r w:rsidRPr="00323B15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  <w:t xml:space="preserve">  2 brands    ████████████████████      30%</w:t>
      </w:r>
    </w:p>
    <w:p w14:paraId="5C6E802C" w14:textId="77777777" w:rsidR="00323B15" w:rsidRPr="00323B15" w:rsidRDefault="00323B15" w:rsidP="00323B15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</w:pPr>
      <w:r w:rsidRPr="00323B15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  <w:t xml:space="preserve">  3 brands    ████████████              18%</w:t>
      </w:r>
    </w:p>
    <w:p w14:paraId="16380874" w14:textId="77777777" w:rsidR="00323B15" w:rsidRPr="00323B15" w:rsidRDefault="00323B15" w:rsidP="00323B15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</w:pPr>
      <w:r w:rsidRPr="00323B15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  <w:t xml:space="preserve">  4 brands    ██████                    10%</w:t>
      </w:r>
    </w:p>
    <w:p w14:paraId="7EA91644" w14:textId="77777777" w:rsidR="00323B15" w:rsidRPr="00323B15" w:rsidRDefault="00323B15" w:rsidP="00323B15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</w:pPr>
      <w:r w:rsidRPr="00323B15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  <w:t xml:space="preserve">  5+ brands   ████                       8%</w:t>
      </w:r>
    </w:p>
    <w:p w14:paraId="37C81D86" w14:textId="77777777" w:rsidR="00323B15" w:rsidRPr="00323B15" w:rsidRDefault="00323B15" w:rsidP="00323B15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</w:pPr>
      <w:r w:rsidRPr="00323B15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  <w:t xml:space="preserve">  Mean repertoire: 2.3 brands</w:t>
      </w:r>
    </w:p>
    <w:p w14:paraId="13216A09" w14:textId="77777777" w:rsidR="00323B15" w:rsidRPr="00323B15" w:rsidRDefault="00323B15" w:rsidP="00323B15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15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323B15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Simple horizontal bar. No colour complexity needed — this is a distribution, not a comparison.</w:t>
      </w:r>
    </w:p>
    <w:p w14:paraId="03ED9245" w14:textId="77777777" w:rsidR="00323B15" w:rsidRPr="00323B15" w:rsidRDefault="00323B15" w:rsidP="00323B15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15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323B15">
        <w:rPr>
          <w:rFonts w:ascii="Segoe UI" w:eastAsia="Times New Roman" w:hAnsi="Segoe UI" w:cs="Segoe UI"/>
          <w:b/>
          <w:bCs/>
          <w:color w:val="0A0A0A"/>
          <w:kern w:val="0"/>
          <w:sz w:val="20"/>
          <w:szCs w:val="20"/>
          <w:bdr w:val="single" w:sz="2" w:space="0" w:color="1F1F1E" w:frame="1"/>
          <w:lang w:eastAsia="en-GB"/>
          <w14:ligatures w14:val="none"/>
        </w:rPr>
        <w:t>Secondary chart: Share of requirements (TRANS) / Switching flow (DUR/SERV)</w:t>
      </w:r>
    </w:p>
    <w:p w14:paraId="4C1120FB" w14:textId="77777777" w:rsidR="00323B15" w:rsidRPr="00323B15" w:rsidRDefault="00323B15" w:rsidP="00323B15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15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323B15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For TRANS categories: horizontal bar chart showing mean share of requirements per brand, among that brand's buyers. IPK saturated, rest grey. Sorted by share.</w:t>
      </w:r>
    </w:p>
    <w:p w14:paraId="482B14B3" w14:textId="77777777" w:rsidR="00323B15" w:rsidRPr="00323B15" w:rsidRDefault="00323B15" w:rsidP="00323B15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</w:pPr>
      <w:r w:rsidRPr="00323B15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  <w:t>Share of requirements (among brand's own buyers)</w:t>
      </w:r>
    </w:p>
    <w:p w14:paraId="37C5F6DD" w14:textId="77777777" w:rsidR="00323B15" w:rsidRPr="00323B15" w:rsidRDefault="00323B15" w:rsidP="00323B15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</w:pPr>
      <w:r w:rsidRPr="00323B15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  <w:t>Brand C   ██████████████████████████████████████  52%  (n=89)</w:t>
      </w:r>
    </w:p>
    <w:p w14:paraId="409C3BF9" w14:textId="77777777" w:rsidR="00323B15" w:rsidRPr="00323B15" w:rsidRDefault="00323B15" w:rsidP="00323B15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</w:pPr>
      <w:r w:rsidRPr="00323B15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  <w:t>IPK       █████████████████████████████           38%  (n=215)</w:t>
      </w:r>
    </w:p>
    <w:p w14:paraId="44B5A86E" w14:textId="77777777" w:rsidR="00323B15" w:rsidRPr="00323B15" w:rsidRDefault="00323B15" w:rsidP="00323B15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</w:pPr>
      <w:r w:rsidRPr="00323B15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  <w:t>Brand A   ████████████████████████                32%  (n=178)</w:t>
      </w:r>
    </w:p>
    <w:p w14:paraId="080B7029" w14:textId="77777777" w:rsidR="00323B15" w:rsidRPr="00323B15" w:rsidRDefault="00323B15" w:rsidP="00323B15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</w:pPr>
      <w:r w:rsidRPr="00323B15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  <w:t>Brand D   ██████████████████                      24%  (n=112)</w:t>
      </w:r>
    </w:p>
    <w:p w14:paraId="39DA9376" w14:textId="77777777" w:rsidR="00323B15" w:rsidRPr="00323B15" w:rsidRDefault="00323B15" w:rsidP="00323B15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15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323B15">
        <w:rPr>
          <w:rFonts w:ascii="Segoe UI" w:eastAsia="Times New Roman" w:hAnsi="Segoe UI" w:cs="Segoe UI"/>
          <w:b/>
          <w:bCs/>
          <w:color w:val="0A0A0A"/>
          <w:kern w:val="0"/>
          <w:sz w:val="20"/>
          <w:szCs w:val="20"/>
          <w:bdr w:val="single" w:sz="2" w:space="0" w:color="1F1F1E" w:frame="1"/>
          <w:lang w:eastAsia="en-GB"/>
          <w14:ligatures w14:val="none"/>
        </w:rPr>
        <w:t>Annotation:</w:t>
      </w:r>
      <w:r w:rsidRPr="00323B15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 </w:t>
      </w:r>
      <w:r w:rsidRPr="00323B15">
        <w:rPr>
          <w:rFonts w:ascii="Segoe UI" w:eastAsia="Times New Roman" w:hAnsi="Segoe UI" w:cs="Segoe UI"/>
          <w:i/>
          <w:iCs/>
          <w:color w:val="0A0A0A"/>
          <w:kern w:val="0"/>
          <w:sz w:val="20"/>
          <w:szCs w:val="20"/>
          <w:bdr w:val="single" w:sz="2" w:space="0" w:color="1F1F1E" w:frame="1"/>
          <w:lang w:eastAsia="en-GB"/>
          <w14:ligatures w14:val="none"/>
        </w:rPr>
        <w:t>"IPK captures 38% of its buyers' frozen vegetable purchases — middle of the competitive set. Brand C's 52% suggests a more committed buyer base, though from a smaller pool (n=89)."</w:t>
      </w:r>
    </w:p>
    <w:p w14:paraId="1157E30C" w14:textId="77777777" w:rsidR="00323B15" w:rsidRPr="00323B15" w:rsidRDefault="00323B15" w:rsidP="00323B15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15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323B15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For DUR/SERV categories: alluvial flow showing prior brand → current brand switching. Width of flow proportional to number of switchers. IPK-to/from flows saturated.</w:t>
      </w:r>
    </w:p>
    <w:p w14:paraId="73ADFA47" w14:textId="77777777" w:rsidR="00323B15" w:rsidRPr="00323B15" w:rsidRDefault="00323B15" w:rsidP="00323B15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15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323B15">
        <w:rPr>
          <w:rFonts w:ascii="Segoe UI" w:eastAsia="Times New Roman" w:hAnsi="Segoe UI" w:cs="Segoe UI"/>
          <w:b/>
          <w:bCs/>
          <w:color w:val="0A0A0A"/>
          <w:kern w:val="0"/>
          <w:sz w:val="20"/>
          <w:szCs w:val="20"/>
          <w:bdr w:val="single" w:sz="2" w:space="0" w:color="1F1F1E" w:frame="1"/>
          <w:lang w:eastAsia="en-GB"/>
          <w14:ligatures w14:val="none"/>
        </w:rPr>
        <w:t>Tertiary chart: Repertoire overlap matrix</w:t>
      </w:r>
    </w:p>
    <w:p w14:paraId="74677B76" w14:textId="77777777" w:rsidR="00323B15" w:rsidRPr="00323B15" w:rsidRDefault="00323B15" w:rsidP="00323B15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15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323B15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Dot plot or co-occurrence matrix showing which brands share buyers with IPK. Sorted by overlap %.</w:t>
      </w:r>
    </w:p>
    <w:p w14:paraId="40F85FDE" w14:textId="77777777" w:rsidR="00323B15" w:rsidRPr="00323B15" w:rsidRDefault="00323B15" w:rsidP="00323B15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</w:pPr>
      <w:r w:rsidRPr="00323B15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  <w:t>Brand overlap with IPK buyers (% of IPK buyers who also buy...)</w:t>
      </w:r>
    </w:p>
    <w:p w14:paraId="1382A72F" w14:textId="77777777" w:rsidR="00323B15" w:rsidRPr="00323B15" w:rsidRDefault="00323B15" w:rsidP="00323B15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</w:pPr>
      <w:r w:rsidRPr="00323B15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  <w:t>Comp A    ████████████████████████████  45%</w:t>
      </w:r>
    </w:p>
    <w:p w14:paraId="16548042" w14:textId="77777777" w:rsidR="00323B15" w:rsidRPr="00323B15" w:rsidRDefault="00323B15" w:rsidP="00323B15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</w:pPr>
      <w:r w:rsidRPr="00323B15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  <w:t>Comp D    ████████████████████          30%</w:t>
      </w:r>
    </w:p>
    <w:p w14:paraId="42C910B5" w14:textId="77777777" w:rsidR="00323B15" w:rsidRPr="00323B15" w:rsidRDefault="00323B15" w:rsidP="00323B15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</w:pPr>
      <w:r w:rsidRPr="00323B15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  <w:t>Comp B    ██████████████                22%</w:t>
      </w:r>
    </w:p>
    <w:p w14:paraId="3692DA74" w14:textId="77777777" w:rsidR="00323B15" w:rsidRPr="00323B15" w:rsidRDefault="00323B15" w:rsidP="00323B15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</w:pPr>
      <w:r w:rsidRPr="00323B15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  <w:t>Comp C    ████████                      12%</w:t>
      </w:r>
    </w:p>
    <w:p w14:paraId="3AD360CB" w14:textId="77777777" w:rsidR="00323B15" w:rsidRPr="00323B15" w:rsidRDefault="00323B15" w:rsidP="00323B15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60" w:line="285" w:lineRule="atLeast"/>
        <w:outlineLvl w:val="2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323B15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Real-world notes</w:t>
      </w:r>
    </w:p>
    <w:p w14:paraId="5A351E9E" w14:textId="77777777" w:rsidR="00323B15" w:rsidRPr="00323B15" w:rsidRDefault="00323B15" w:rsidP="00323B15">
      <w:pPr>
        <w:numPr>
          <w:ilvl w:val="0"/>
          <w:numId w:val="5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323B15">
        <w:rPr>
          <w:rFonts w:ascii="Segoe UI" w:eastAsia="Times New Roman" w:hAnsi="Segoe UI" w:cs="Segoe UI"/>
          <w:b/>
          <w:bCs/>
          <w:color w:val="0A0A0A"/>
          <w:kern w:val="0"/>
          <w:sz w:val="20"/>
          <w:szCs w:val="20"/>
          <w:bdr w:val="single" w:sz="2" w:space="0" w:color="1F1F1E" w:frame="1"/>
          <w:lang w:eastAsia="en-GB"/>
          <w14:ligatures w14:val="none"/>
        </w:rPr>
        <w:t>Repertoire size is a category metric, not a brand metric.</w:t>
      </w:r>
      <w:r w:rsidRPr="00323B15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 Average repertoire is driven by category dynamics (frequency of purchase, number of viable options, switching costs), not by individual brand strategies. Report the category norm, not brand-specific repertoire.</w:t>
      </w:r>
    </w:p>
    <w:p w14:paraId="42E46931" w14:textId="77777777" w:rsidR="00323B15" w:rsidRPr="00323B15" w:rsidRDefault="00323B15" w:rsidP="00323B15">
      <w:pPr>
        <w:numPr>
          <w:ilvl w:val="0"/>
          <w:numId w:val="5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323B15">
        <w:rPr>
          <w:rFonts w:ascii="Segoe UI" w:eastAsia="Times New Roman" w:hAnsi="Segoe UI" w:cs="Segoe UI"/>
          <w:b/>
          <w:bCs/>
          <w:color w:val="0A0A0A"/>
          <w:kern w:val="0"/>
          <w:sz w:val="20"/>
          <w:szCs w:val="20"/>
          <w:bdr w:val="single" w:sz="2" w:space="0" w:color="1F1F1E" w:frame="1"/>
          <w:lang w:eastAsia="en-GB"/>
          <w14:ligatures w14:val="none"/>
        </w:rPr>
        <w:t>Share of requirements is the brand-level metric here.</w:t>
      </w:r>
      <w:r w:rsidRPr="00323B15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 It answers: among our buyers, how much of their category spend do we capture? Low share of requirements + high buyer count = "many people buy us a little". High share of requirements + low buyer count = "few people, but committed".</w:t>
      </w:r>
    </w:p>
    <w:p w14:paraId="4FA455D1" w14:textId="77777777" w:rsidR="00323B15" w:rsidRPr="00323B15" w:rsidRDefault="00323B15" w:rsidP="00323B15">
      <w:pPr>
        <w:numPr>
          <w:ilvl w:val="0"/>
          <w:numId w:val="5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323B15">
        <w:rPr>
          <w:rFonts w:ascii="Segoe UI" w:eastAsia="Times New Roman" w:hAnsi="Segoe UI" w:cs="Segoe UI"/>
          <w:b/>
          <w:bCs/>
          <w:color w:val="0A0A0A"/>
          <w:kern w:val="0"/>
          <w:sz w:val="20"/>
          <w:szCs w:val="20"/>
          <w:bdr w:val="single" w:sz="2" w:space="0" w:color="1F1F1E" w:frame="1"/>
          <w:lang w:eastAsia="en-GB"/>
          <w14:ligatures w14:val="none"/>
        </w:rPr>
        <w:t>Sole loyalty is rarer than clients expect.</w:t>
      </w:r>
      <w:r w:rsidRPr="00323B15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 In FMCG, sole loyalty rates of 10–20% are normal. Clients who expect 50%+ loyal customers are applying a DUR/SERV mental model to a TRANS category. The About section should set expectations.</w:t>
      </w:r>
    </w:p>
    <w:p w14:paraId="6E7D04AC" w14:textId="77777777" w:rsidR="00323B15" w:rsidRPr="00323B15" w:rsidRDefault="00323B15" w:rsidP="00323B15">
      <w:pPr>
        <w:numPr>
          <w:ilvl w:val="0"/>
          <w:numId w:val="5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323B15">
        <w:rPr>
          <w:rFonts w:ascii="Segoe UI" w:eastAsia="Times New Roman" w:hAnsi="Segoe UI" w:cs="Segoe UI"/>
          <w:b/>
          <w:bCs/>
          <w:color w:val="0A0A0A"/>
          <w:kern w:val="0"/>
          <w:sz w:val="20"/>
          <w:szCs w:val="20"/>
          <w:bdr w:val="single" w:sz="2" w:space="0" w:color="1F1F1E" w:frame="1"/>
          <w:lang w:eastAsia="en-GB"/>
          <w14:ligatures w14:val="none"/>
        </w:rPr>
        <w:t>Small base warning for overlap analysis.</w:t>
      </w:r>
      <w:r w:rsidRPr="00323B15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 With 1,200 respondents across 4 categories, per-brand buyer bases may be 50–150. Overlap percentages at the brand-pair level get noisy quickly. Flag low-base pairs.</w:t>
      </w:r>
    </w:p>
    <w:p w14:paraId="4D291AD7" w14:textId="77777777" w:rsidR="00323B15" w:rsidRPr="00323B15" w:rsidRDefault="00323B15" w:rsidP="00323B15">
      <w:pPr>
        <w:numPr>
          <w:ilvl w:val="0"/>
          <w:numId w:val="5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323B15">
        <w:rPr>
          <w:rFonts w:ascii="Segoe UI" w:eastAsia="Times New Roman" w:hAnsi="Segoe UI" w:cs="Segoe UI"/>
          <w:b/>
          <w:bCs/>
          <w:color w:val="0A0A0A"/>
          <w:kern w:val="0"/>
          <w:sz w:val="20"/>
          <w:szCs w:val="20"/>
          <w:bdr w:val="single" w:sz="2" w:space="0" w:color="1F1F1E" w:frame="1"/>
          <w:lang w:eastAsia="en-GB"/>
          <w14:ligatures w14:val="none"/>
        </w:rPr>
        <w:t>Pairings:</w:t>
      </w:r>
      <w:r w:rsidRPr="00323B15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 Funnel (repertoire size contextualises "preferred brand" — in a 4-brand repertoire, even the "preferred" brand may only get 35% of purchases), Mental Availability (</w:t>
      </w:r>
      <w:proofErr w:type="spellStart"/>
      <w:r w:rsidRPr="00323B15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MPen</w:t>
      </w:r>
      <w:proofErr w:type="spellEnd"/>
      <w:r w:rsidRPr="00323B15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 xml:space="preserve"> predicts repertoire inclusion), Portfolio (cross-category overlap is a portfolio strategic input).</w:t>
      </w:r>
    </w:p>
    <w:p w14:paraId="07BDE2EE" w14:textId="77777777" w:rsidR="00331669" w:rsidRDefault="00331669"/>
    <w:sectPr w:rsidR="003316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7328BF"/>
    <w:multiLevelType w:val="multilevel"/>
    <w:tmpl w:val="AB928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905326D"/>
    <w:multiLevelType w:val="multilevel"/>
    <w:tmpl w:val="5A7CD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A6F7DED"/>
    <w:multiLevelType w:val="multilevel"/>
    <w:tmpl w:val="84B0F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8E41F43"/>
    <w:multiLevelType w:val="multilevel"/>
    <w:tmpl w:val="2DBAA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0DE6AFC"/>
    <w:multiLevelType w:val="multilevel"/>
    <w:tmpl w:val="409E4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84164993">
    <w:abstractNumId w:val="2"/>
  </w:num>
  <w:num w:numId="2" w16cid:durableId="1243300786">
    <w:abstractNumId w:val="3"/>
  </w:num>
  <w:num w:numId="3" w16cid:durableId="53236936">
    <w:abstractNumId w:val="0"/>
  </w:num>
  <w:num w:numId="4" w16cid:durableId="410466736">
    <w:abstractNumId w:val="1"/>
  </w:num>
  <w:num w:numId="5" w16cid:durableId="4127475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B15"/>
    <w:rsid w:val="000116FC"/>
    <w:rsid w:val="002A7748"/>
    <w:rsid w:val="00323B15"/>
    <w:rsid w:val="00331669"/>
    <w:rsid w:val="008B2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F1D643F"/>
  <w15:chartTrackingRefBased/>
  <w15:docId w15:val="{F1E7DDA4-AED9-A446-8134-66F368D42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3B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3B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23B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B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B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B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B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B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B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B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23B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23B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B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B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B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B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B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B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B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B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B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B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B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B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B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B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B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B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B15"/>
    <w:rPr>
      <w:b/>
      <w:bCs/>
      <w:smallCaps/>
      <w:color w:val="0F4761" w:themeColor="accent1" w:themeShade="BF"/>
      <w:spacing w:val="5"/>
    </w:rPr>
  </w:style>
  <w:style w:type="paragraph" w:customStyle="1" w:styleId="text-body">
    <w:name w:val="text-body"/>
    <w:basedOn w:val="Normal"/>
    <w:rsid w:val="00323B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323B15"/>
    <w:rPr>
      <w:i/>
      <w:iCs/>
    </w:rPr>
  </w:style>
  <w:style w:type="paragraph" w:customStyle="1" w:styleId="mb-var--p5">
    <w:name w:val="mb-[var(--p5)]"/>
    <w:basedOn w:val="Normal"/>
    <w:rsid w:val="00323B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323B1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23B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23B15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744</Words>
  <Characters>4245</Characters>
  <Application>Microsoft Office Word</Application>
  <DocSecurity>0</DocSecurity>
  <Lines>35</Lines>
  <Paragraphs>9</Paragraphs>
  <ScaleCrop>false</ScaleCrop>
  <Company/>
  <LinksUpToDate>false</LinksUpToDate>
  <CharactersWithSpaces>4980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Duncan Brett</dc:creator>
  <cp:keywords/>
  <dc:description/>
  <cp:lastModifiedBy>Duncan Brett</cp:lastModifiedBy>
  <cp:revision>1</cp:revision>
  <dcterms:created xsi:type="dcterms:W3CDTF">2026-04-16T21:28:00Z</dcterms:created>
  <dcterms:modified xsi:type="dcterms:W3CDTF">2026-04-16T21:28:00Z</dcterms:modified>
</cp:coreProperties>
</file>