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drawing>
          <wp:inline distT="0" distB="0" distL="0" distR="0">
            <wp:extent cx="952500" cy="762000"/>
            <wp:effectExtent t="0" r="0" b="0" l="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62000"/>
                    </a:xfrm>
                    <a:prstGeom prst="rect">
                      <a:avLst/>
                    </a:prstGeom>
                  </pic:spPr>
                </pic:pic>
              </a:graphicData>
            </a:graphic>
          </wp:inline>
        </w:drawing>
      </w:r>
    </w:p>
    <w:p>
      <w:pPr>
        <w:pStyle w:val="Title"/>
      </w:pPr>
      <w:r>
        <w:t xml:space="preserve">Turas AlchemerParser</w:t>
      </w:r>
    </w:p>
    <w:p>
      <w:pPr>
        <w:pStyle w:val="Tagline"/>
      </w:pPr>
      <w:r>
        <w:t xml:space="preserve">Transparent. Trustworthy. Tangible insights.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4A052" w:sz="20"/>
              <w:left w:val="single" w:color="DDDDDD" w:sz="1"/>
              <w:bottom w:val="single" w:color="DDDDDD" w:sz="1"/>
              <w:right w:val="single" w:color="DDDDDD" w:sz="1"/>
            </w:tcBorders>
            <w:shd w:fill="F8F9FA" w:val="clear"/>
            <w:tcMar>
              <w:top w:type="dxa" w:w="140"/>
              <w:left w:type="dxa" w:w="200"/>
              <w:bottom w:type="dxa" w:w="140"/>
              <w:right w:type="dxa" w:w="200"/>
            </w:tcMar>
          </w:tcPr>
          <w:p>
            <w:pPr>
              <w:spacing w:after="0"/>
            </w:pPr>
            <w:r>
              <w:rPr>
                <w:color w:val="1B365D"/>
                <w:sz w:val="21"/>
                <w:szCs w:val="21"/>
              </w:rPr>
              <w:t xml:space="preserve">Workflow automation—transforms Alchemer survey exports into analysis-ready configuration files. Instead of spending hours manually setting up question codes, labels, and response options, this module does it in seconds—accurately and comprehensively.</w:t>
            </w:r>
          </w:p>
        </w:tc>
      </w:tr>
    </w:tbl>
    <w:p>
      <w:pPr>
        <w:pStyle w:val="Heading1"/>
      </w:pPr>
      <w:r>
        <w:t xml:space="preserve">What This Module Does</w:t>
      </w:r>
    </w:p>
    <w:p>
      <w:pPr>
        <w:pStyle w:val="BodyText"/>
      </w:pPr>
      <w:r>
        <w:t xml:space="preserve">When you export survey data from Alchemer, you get raw data files with cryptic column names like Q1_1_c1 and Q2_1_r3_c2. Before you can analyze anything, you need to map columns to questions, identify question types, extract response options, and create configuration files. This takes 2-4 hours per survey—and errors are common.</w:t>
      </w:r>
    </w:p>
    <w:p>
      <w:pPr>
        <w:pStyle w:val="BodyText"/>
      </w:pPr>
      <w:r>
        <w:t xml:space="preserve">AlchemerParser reads your Alchemer export files, cross-references them, and generates all configuration files automatically. What took hours now takes seconds, with zero typos and complete accuracy.</w:t>
      </w:r>
    </w:p>
    <w:p>
      <w:pPr>
        <w:pStyle w:val="Heading1"/>
      </w:pPr>
      <w:r>
        <w:t xml:space="preserve">What You Get</w:t>
      </w:r>
    </w:p>
    <w:p>
      <w:pPr>
        <w:pStyle w:val="Heading2"/>
      </w:pPr>
      <w:r>
        <w:t xml:space="preserve">Input Files (From Alchemer)</w:t>
      </w:r>
    </w:p>
    <w:p>
      <w:pPr>
        <w:pStyle w:val="SmallText"/>
        <w:numPr>
          <w:ilvl w:val="0"/>
          <w:numId w:val="2"/>
        </w:numPr>
      </w:pPr>
      <w:r>
        <w:rPr>
          <w:b/>
          <w:bCs/>
        </w:rPr>
        <w:t xml:space="preserve">Data Export Map: </w:t>
      </w:r>
      <w:r>
        <w:t xml:space="preserve">Shows how Alchemer structured your data</w:t>
      </w:r>
    </w:p>
    <w:p>
      <w:pPr>
        <w:pStyle w:val="SmallText"/>
        <w:numPr>
          <w:ilvl w:val="0"/>
          <w:numId w:val="2"/>
        </w:numPr>
      </w:pPr>
      <w:r>
        <w:rPr>
          <w:b/>
          <w:bCs/>
        </w:rPr>
        <w:t xml:space="preserve">Translation Export: </w:t>
      </w:r>
      <w:r>
        <w:t xml:space="preserve">Contains all question text and response options</w:t>
      </w:r>
    </w:p>
    <w:p>
      <w:pPr>
        <w:pStyle w:val="SmallText"/>
        <w:numPr>
          <w:ilvl w:val="0"/>
          <w:numId w:val="2"/>
        </w:numPr>
      </w:pPr>
      <w:r>
        <w:rPr>
          <w:b/>
          <w:bCs/>
        </w:rPr>
        <w:t xml:space="preserve">Questionnaire Document: </w:t>
      </w:r>
      <w:r>
        <w:t xml:space="preserve">The formatted survey as respondents saw it</w:t>
      </w:r>
    </w:p>
    <w:p>
      <w:pPr>
        <w:pStyle w:val="Heading2"/>
      </w:pPr>
      <w:r>
        <w:t xml:space="preserve">Output Files (Generated)</w:t>
      </w:r>
    </w:p>
    <w:p>
      <w:pPr>
        <w:pStyle w:val="SmallText"/>
        <w:numPr>
          <w:ilvl w:val="0"/>
          <w:numId w:val="2"/>
        </w:numPr>
      </w:pPr>
      <w:r>
        <w:rPr>
          <w:b/>
          <w:bCs/>
        </w:rPr>
        <w:t xml:space="preserve">Crosstab_Config.xlsx: </w:t>
      </w:r>
      <w:r>
        <w:t xml:space="preserve">Selection sheet for Tabs analysis—ready to use</w:t>
      </w:r>
    </w:p>
    <w:p>
      <w:pPr>
        <w:pStyle w:val="SmallText"/>
        <w:numPr>
          <w:ilvl w:val="0"/>
          <w:numId w:val="2"/>
        </w:numPr>
      </w:pPr>
      <w:r>
        <w:rPr>
          <w:b/>
          <w:bCs/>
        </w:rPr>
        <w:t xml:space="preserve">Survey_Structure.xlsx: </w:t>
      </w:r>
      <w:r>
        <w:t xml:space="preserve">Complete question catalog with metadata</w:t>
      </w:r>
    </w:p>
    <w:p>
      <w:pPr>
        <w:pStyle w:val="SmallText"/>
        <w:numPr>
          <w:ilvl w:val="0"/>
          <w:numId w:val="2"/>
        </w:numPr>
      </w:pPr>
      <w:r>
        <w:rPr>
          <w:b/>
          <w:bCs/>
        </w:rPr>
        <w:t xml:space="preserve">Data_Headers.xlsx: </w:t>
      </w:r>
      <w:r>
        <w:t xml:space="preserve">Column header mapping for data imports</w:t>
      </w:r>
    </w:p>
    <w:p>
      <w:pPr>
        <w:pStyle w:val="Heading1"/>
      </w:pPr>
      <w:r>
        <w:t xml:space="preserve">How It Works</w:t>
      </w:r>
    </w:p>
    <w:p>
      <w:pPr>
        <w:pStyle w:val="Heading2"/>
      </w:pPr>
      <w:r>
        <w:t xml:space="preserve">Question Type Detection</w:t>
      </w:r>
    </w:p>
    <w:p>
      <w:pPr>
        <w:pStyle w:val="BodyText"/>
      </w:pPr>
      <w:r>
        <w:t xml:space="preserve">Hierarchical detection system classifies questions: NPS → Likert → Rating → Ranking → Grid → Multiple Choice → Single Choice → Open-Ended. More specific types take priority (e.g., NPS beats Rating for 0-10 recommend questions).</w:t>
      </w:r>
    </w:p>
    <w:p>
      <w:pPr>
        <w:pStyle w:val="Heading2"/>
      </w:pPr>
      <w:r>
        <w:t xml:space="preserve">Grid Question Handling</w:t>
      </w:r>
    </w:p>
    <w:p>
      <w:pPr>
        <w:pStyle w:val="BodyText"/>
      </w:pPr>
      <w:r>
        <w:t xml:space="preserve">Automatically detects matrix-style questions with rows and columns. Splits into separate questions (Q5a, Q5b, Q5c) with proper labeling. Maps shared response options to all sub-questions.</w:t>
      </w:r>
    </w:p>
    <w:p>
      <w:pPr>
        <w:pStyle w:val="Heading2"/>
      </w:pPr>
      <w:r>
        <w:t xml:space="preserve">Validation</w:t>
      </w:r>
    </w:p>
    <w:p>
      <w:pPr>
        <w:pStyle w:val="BodyText"/>
      </w:pPr>
      <w:r>
        <w:t xml:space="preserve">Checks file consistency, question classification, data structure, and response options. ERRORs must be fixed; WARNINGs flagged for review; INFOs are FYI only.</w:t>
      </w:r>
    </w:p>
    <w:p>
      <w:pPr>
        <w:pStyle w:val="Heading1"/>
      </w:pPr>
      <w:r>
        <w:t xml:space="preserve">Technology Used</w:t>
      </w:r>
    </w:p>
    <w:p>
      <w:pPr>
        <w:pStyle w:val="BodyText"/>
      </w:pPr>
      <w:r>
        <w:t xml:space="preserve">All packages are peer-reviewed, open-source R packages available on CRAN.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Package</w:t>
            </w:r>
          </w:p>
        </w:tc>
        <w:tc>
          <w:tcPr>
            <w:tcW w:type="dxa" w:w="716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Why We Use It</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readxl</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Read Excel files—works without Java, reliable</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officer</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Read Word documents—preserves formatting critical for detection</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openxlsx</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Write Excel files—no Java dependency, cross-platform</w:t>
            </w:r>
          </w:p>
        </w:tc>
      </w:tr>
    </w:tbl>
    <w:p>
      <w:pPr>
        <w:pStyle w:val="Heading1"/>
      </w:pPr>
      <w:r>
        <w:t xml:space="preserve">Strengths</w:t>
      </w:r>
    </w:p>
    <w:p>
      <w:pPr>
        <w:pStyle w:val="SmallText"/>
        <w:numPr>
          <w:ilvl w:val="0"/>
          <w:numId w:val="3"/>
        </w:numPr>
      </w:pPr>
      <w:r>
        <w:rPr>
          <w:b/>
          <w:bCs/>
        </w:rPr>
        <w:t xml:space="preserve">Massive time savings: </w:t>
      </w:r>
      <w:r>
        <w:t xml:space="preserve">2-4 hours → 15 minutes</w:t>
      </w:r>
    </w:p>
    <w:p>
      <w:pPr>
        <w:pStyle w:val="SmallText"/>
        <w:numPr>
          <w:ilvl w:val="0"/>
          <w:numId w:val="3"/>
        </w:numPr>
      </w:pPr>
      <w:r>
        <w:rPr>
          <w:b/>
          <w:bCs/>
        </w:rPr>
        <w:t xml:space="preserve">Accuracy: </w:t>
      </w:r>
      <w:r>
        <w:t xml:space="preserve">No typos, complete option lists</w:t>
      </w:r>
    </w:p>
    <w:p>
      <w:pPr>
        <w:pStyle w:val="SmallText"/>
        <w:numPr>
          <w:ilvl w:val="0"/>
          <w:numId w:val="3"/>
        </w:numPr>
      </w:pPr>
      <w:r>
        <w:rPr>
          <w:b/>
          <w:bCs/>
        </w:rPr>
        <w:t xml:space="preserve">Handles complexity: </w:t>
      </w:r>
      <w:r>
        <w:t xml:space="preserve">Grid questions, ranking, NPS, all question types</w:t>
      </w:r>
    </w:p>
    <w:p>
      <w:pPr>
        <w:pStyle w:val="SmallText"/>
        <w:numPr>
          <w:ilvl w:val="0"/>
          <w:numId w:val="3"/>
        </w:numPr>
      </w:pPr>
      <w:r>
        <w:rPr>
          <w:b/>
          <w:bCs/>
        </w:rPr>
        <w:t xml:space="preserve">Validation: </w:t>
      </w:r>
      <w:r>
        <w:t xml:space="preserve">Catches inconsistencies automatically</w:t>
      </w:r>
    </w:p>
    <w:p>
      <w:pPr>
        <w:pStyle w:val="SmallText"/>
        <w:numPr>
          <w:ilvl w:val="0"/>
          <w:numId w:val="3"/>
        </w:numPr>
      </w:pPr>
      <w:r>
        <w:rPr>
          <w:b/>
          <w:bCs/>
        </w:rPr>
        <w:t xml:space="preserve">Reproducible: </w:t>
      </w:r>
      <w:r>
        <w:t xml:space="preserve">Same inputs → same outputs every time</w:t>
      </w:r>
    </w:p>
    <w:p>
      <w:pPr>
        <w:pStyle w:val="SmallText"/>
        <w:numPr>
          <w:ilvl w:val="0"/>
          <w:numId w:val="3"/>
        </w:numPr>
      </w:pPr>
      <w:r>
        <w:rPr>
          <w:b/>
          <w:bCs/>
        </w:rPr>
        <w:t xml:space="preserve">Production-ready: </w:t>
      </w:r>
      <w:r>
        <w:t xml:space="preserve">Used in real projects, tested extensively</w:t>
      </w:r>
    </w:p>
    <w:p>
      <w:pPr>
        <w:pStyle w:val="Heading1"/>
      </w:pPr>
      <w:r>
        <w:t xml:space="preserve">Limitations</w:t>
      </w:r>
    </w:p>
    <w:p>
      <w:pPr>
        <w:pStyle w:val="SmallText"/>
        <w:numPr>
          <w:ilvl w:val="0"/>
          <w:numId w:val="4"/>
        </w:numPr>
      </w:pPr>
      <w:r>
        <w:rPr>
          <w:b/>
          <w:bCs/>
        </w:rPr>
        <w:t xml:space="preserve">Alchemer-only: </w:t>
      </w:r>
      <w:r>
        <w:t xml:space="preserve">Doesn't support other platforms (Qualtrics, SurveyMonkey)</w:t>
      </w:r>
    </w:p>
    <w:p>
      <w:pPr>
        <w:pStyle w:val="SmallText"/>
        <w:numPr>
          <w:ilvl w:val="0"/>
          <w:numId w:val="4"/>
        </w:numPr>
      </w:pPr>
      <w:r>
        <w:rPr>
          <w:b/>
          <w:bCs/>
        </w:rPr>
        <w:t xml:space="preserve">Requires all three files: </w:t>
      </w:r>
      <w:r>
        <w:t xml:space="preserve">Can't work with partial exports</w:t>
      </w:r>
    </w:p>
    <w:p>
      <w:pPr>
        <w:pStyle w:val="SmallText"/>
        <w:numPr>
          <w:ilvl w:val="0"/>
          <w:numId w:val="4"/>
        </w:numPr>
      </w:pPr>
      <w:r>
        <w:rPr>
          <w:b/>
          <w:bCs/>
        </w:rPr>
        <w:t xml:space="preserve">Standard questions only: </w:t>
      </w:r>
      <w:r>
        <w:t xml:space="preserve">Unusual formats may need manual review</w:t>
      </w:r>
    </w:p>
    <w:p>
      <w:pPr>
        <w:pStyle w:val="SmallText"/>
        <w:numPr>
          <w:ilvl w:val="0"/>
          <w:numId w:val="4"/>
        </w:numPr>
      </w:pPr>
      <w:r>
        <w:rPr>
          <w:b/>
          <w:bCs/>
        </w:rPr>
        <w:t xml:space="preserve">English-optimized: </w:t>
      </w:r>
      <w:r>
        <w:t xml:space="preserve">Keyword detection assumes English text</w:t>
      </w:r>
    </w:p>
    <w:p>
      <w:pPr>
        <w:pStyle w:val="Heading1"/>
      </w:pPr>
      <w:r>
        <w:t xml:space="preserve">Sample Size Requirements</w:t>
      </w:r>
    </w:p>
    <w:p>
      <w:pPr>
        <w:pStyle w:val="BodyText"/>
      </w:pPr>
      <w:r>
        <w:t xml:space="preserve">No sample size requirements—this is a configuration tool, not an analysis module. Works on any survey regardless of respondent count.</w:t>
      </w:r>
    </w:p>
    <w:p>
      <w:pPr>
        <w:pStyle w:val="Heading1"/>
      </w:pPr>
      <w:r>
        <w:t xml:space="preserve">Best Use Cases</w:t>
      </w:r>
    </w:p>
    <w:p>
      <w:pPr>
        <w:pStyle w:val="Heading2"/>
      </w:pPr>
      <w:r>
        <w:t xml:space="preserve">Ideal For</w:t>
      </w:r>
    </w:p>
    <w:p>
      <w:pPr>
        <w:pStyle w:val="SmallText"/>
        <w:numPr>
          <w:ilvl w:val="0"/>
          <w:numId w:val="3"/>
        </w:numPr>
      </w:pPr>
      <w:r>
        <w:t xml:space="preserve">Any Alchemer survey with 20+ questions</w:t>
      </w:r>
    </w:p>
    <w:p>
      <w:pPr>
        <w:pStyle w:val="SmallText"/>
        <w:numPr>
          <w:ilvl w:val="0"/>
          <w:numId w:val="3"/>
        </w:numPr>
      </w:pPr>
      <w:r>
        <w:t xml:space="preserve">Surveys with complex grid structures</w:t>
      </w:r>
    </w:p>
    <w:p>
      <w:pPr>
        <w:pStyle w:val="SmallText"/>
        <w:numPr>
          <w:ilvl w:val="0"/>
          <w:numId w:val="3"/>
        </w:numPr>
      </w:pPr>
      <w:r>
        <w:t xml:space="preserve">Tracking studies (re-run parser each wave)</w:t>
      </w:r>
    </w:p>
    <w:p>
      <w:pPr>
        <w:pStyle w:val="SmallText"/>
        <w:numPr>
          <w:ilvl w:val="0"/>
          <w:numId w:val="3"/>
        </w:numPr>
      </w:pPr>
      <w:r>
        <w:t xml:space="preserve">Multi-country surveys requiring configs per language</w:t>
      </w:r>
    </w:p>
    <w:p>
      <w:pPr>
        <w:pStyle w:val="SmallText"/>
        <w:numPr>
          <w:ilvl w:val="0"/>
          <w:numId w:val="3"/>
        </w:numPr>
      </w:pPr>
      <w:r>
        <w:t xml:space="preserve">Projects where setup accuracy is critical</w:t>
      </w:r>
    </w:p>
    <w:p>
      <w:pPr>
        <w:pStyle w:val="Heading2"/>
      </w:pPr>
      <w:r>
        <w:t xml:space="preserve">Not Ideal For</w:t>
      </w:r>
    </w:p>
    <w:p>
      <w:pPr>
        <w:pStyle w:val="SmallText"/>
        <w:numPr>
          <w:ilvl w:val="0"/>
          <w:numId w:val="4"/>
        </w:numPr>
      </w:pPr>
      <w:r>
        <w:t xml:space="preserve">Non-Alchemer survey platforms</w:t>
      </w:r>
    </w:p>
    <w:p>
      <w:pPr>
        <w:pStyle w:val="SmallText"/>
        <w:numPr>
          <w:ilvl w:val="0"/>
          <w:numId w:val="4"/>
        </w:numPr>
      </w:pPr>
      <w:r>
        <w:t xml:space="preserve">Highly customized question types with unusual formats</w:t>
      </w:r>
    </w:p>
    <w:p>
      <w:pPr>
        <w:pStyle w:val="SmallText"/>
        <w:numPr>
          <w:ilvl w:val="0"/>
          <w:numId w:val="4"/>
        </w:numPr>
      </w:pPr>
      <w:r>
        <w:t xml:space="preserve">When you only have the data file (no Alchemer exports)</w:t>
      </w:r>
    </w:p>
    <w:p>
      <w:pPr>
        <w:pStyle w:val="SmallText"/>
        <w:numPr>
          <w:ilvl w:val="0"/>
          <w:numId w:val="4"/>
        </w:numPr>
      </w:pPr>
      <w:r>
        <w:t xml:space="preserve">Very simple surveys (5-10 questions) where manual setup is faster</w:t>
      </w:r>
    </w:p>
    <w:p>
      <w:pPr>
        <w:pStyle w:val="Heading1"/>
      </w:pPr>
      <w:r>
        <w:t xml:space="preserve">Key Takeaways</w:t>
      </w:r>
    </w:p>
    <w:p>
      <w:pPr>
        <w:pStyle w:val="SmallText"/>
        <w:numPr>
          <w:ilvl w:val="0"/>
          <w:numId w:val="3"/>
        </w:numPr>
      </w:pPr>
      <w:r>
        <w:t xml:space="preserve">Provide all three Alchemer files for best results</w:t>
      </w:r>
    </w:p>
    <w:p>
      <w:pPr>
        <w:pStyle w:val="SmallText"/>
        <w:numPr>
          <w:ilvl w:val="0"/>
          <w:numId w:val="3"/>
        </w:numPr>
      </w:pPr>
      <w:r>
        <w:t xml:space="preserve">Check validation output for WARNINGs that need review</w:t>
      </w:r>
    </w:p>
    <w:p>
      <w:pPr>
        <w:pStyle w:val="SmallText"/>
        <w:numPr>
          <w:ilvl w:val="0"/>
          <w:numId w:val="3"/>
        </w:numPr>
      </w:pPr>
      <w:r>
        <w:t xml:space="preserve">Re-run parser after questionnaire changes</w:t>
      </w:r>
    </w:p>
    <w:p>
      <w:pPr>
        <w:pStyle w:val="SmallText"/>
        <w:numPr>
          <w:ilvl w:val="0"/>
          <w:numId w:val="3"/>
        </w:numPr>
      </w:pPr>
      <w:r>
        <w:t xml:space="preserve">For tracking studies, compare new config to previous wave for consistency</w:t>
      </w:r>
    </w:p>
    <w:p>
      <w:pPr>
        <w:pStyle w:val="SmallText"/>
        <w:numPr>
          <w:ilvl w:val="0"/>
          <w:numId w:val="3"/>
        </w:numPr>
      </w:pPr>
      <w:r>
        <w:t xml:space="preserve">Manual override is available for misclassified question types</w:t>
      </w:r>
    </w:p>
    <w:p>
      <w:pPr>
        <w:pStyle w:val="Heading1"/>
      </w:pPr>
      <w:r>
        <w:t xml:space="preserve">The Bottom Line</w:t>
      </w:r>
    </w:p>
    <w:p>
      <w:pPr>
        <w:pStyle w:val="BodyText"/>
      </w:pPr>
      <w:r>
        <w:t xml:space="preserve">AlchemerParser is your survey setup automation specialist. If you use Alchemer and have surveys with grid questions, complex structures, or large question counts, this module will save you hours of tedious work while eliminating human error. The alternative is manual configuration: slow, boring, error-prone, and soul-crushing. AlchemerParser turns hours of drudgery into minutes of review.</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B365D" w:sz="1"/>
              <w:left w:val="single" w:color="1B365D" w:sz="1"/>
              <w:bottom w:val="single" w:color="1B365D" w:sz="1"/>
              <w:right w:val="single" w:color="1B365D" w:sz="1"/>
            </w:tcBorders>
            <w:shd w:fill="1B365D" w:val="clear"/>
            <w:tcMar>
              <w:top w:type="dxa" w:w="140"/>
              <w:left w:type="dxa" w:w="200"/>
              <w:bottom w:type="dxa" w:w="140"/>
              <w:right w:type="dxa" w:w="200"/>
            </w:tcMar>
          </w:tcPr>
          <w:p>
            <w:pPr>
              <w:spacing w:after="50"/>
              <w:jc w:val="center"/>
            </w:pPr>
            <w:r>
              <w:rPr>
                <w:b/>
                <w:bCs/>
                <w:color w:val="FFFFFF"/>
                <w:sz w:val="22"/>
                <w:szCs w:val="22"/>
              </w:rPr>
              <w:t xml:space="preserve">Questions or Support</w:t>
            </w:r>
          </w:p>
          <w:p>
            <w:pPr>
              <w:spacing w:after="0"/>
              <w:jc w:val="center"/>
            </w:pPr>
            <w:r>
              <w:rPr>
                <w:color w:val="C4A052"/>
                <w:sz w:val="18"/>
                <w:szCs w:val="18"/>
              </w:rPr>
              <w:t xml:space="preserve">duncan@researchlamppost.co.za  •  The Research LampPost  •  SAMRA Member</w:t>
            </w:r>
          </w:p>
        </w:tc>
      </w:tr>
    </w:tbl>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65D"/>
        <w:sz w:val="16"/>
        <w:szCs w:val="16"/>
      </w:rPr>
      <w:t xml:space="preserve">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65D"/>
        <w:sz w:val="16"/>
        <w:szCs w:val="16"/>
      </w:rPr>
      <w:t xml:space="preserve">Turas AlchemerParser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rPr>
        <w:color w:val="C4A052"/>
      </w:rPr>
    </w:lvl>
  </w:abstractNum>
  <w:abstractNum w:abstractNumId="3" w15:restartNumberingAfterBreak="0">
    <w:multiLevelType w:val="hybridMultilevel"/>
    <w:lvl w:ilvl="0" w15:tentative="1">
      <w:start w:val="1"/>
      <w:numFmt w:val="bullet"/>
      <w:lvlText w:val="⚠"/>
      <w:lvlJc w:val="left"/>
      <w:pPr>
        <w:ind w:left="450" w:hanging="280"/>
      </w:pPr>
      <w:rPr>
        <w:color w:val="CC6600"/>
      </w:rPr>
    </w:lvl>
  </w:abstractNum>
  <w:abstractNum w:abstractNumId="4"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B365D"/>
      <w:sz w:val="52"/>
      <w:szCs w:val="52"/>
    </w:rPr>
  </w:style>
  <w:style w:type="paragraph" w:styleId="Tagline">
    <w:name w:val="Tagline"/>
    <w:basedOn w:val="Normal"/>
    <w:pPr>
      <w:spacing w:before="0" w:after="120"/>
      <w:jc w:val="left"/>
    </w:pPr>
    <w:rPr>
      <w:rFonts w:ascii="Arial" w:cs="Arial" w:eastAsia="Arial" w:hAnsi="Arial"/>
      <w:b w:val="false"/>
      <w:bCs w:val="false"/>
      <w:i/>
      <w:iCs/>
      <w:color w:val="C4A052"/>
      <w:sz w:val="24"/>
      <w:szCs w:val="24"/>
    </w:rPr>
  </w:style>
  <w:style w:type="paragraph" w:styleId="Heading1">
    <w:name w:val="Heading 1"/>
    <w:basedOn w:val="Normal"/>
    <w:next w:val="Normal"/>
    <w:qFormat/>
    <w:pPr>
      <w:spacing w:before="280" w:after="120"/>
      <w:outlineLvl w:val="0"/>
    </w:pPr>
    <w:rPr>
      <w:rFonts w:ascii="Arial" w:cs="Arial" w:eastAsia="Arial" w:hAnsi="Arial"/>
      <w:b/>
      <w:bCs/>
      <w:color w:val="1B365D"/>
      <w:sz w:val="26"/>
      <w:szCs w:val="26"/>
    </w:rPr>
  </w:style>
  <w:style w:type="paragraph" w:styleId="Heading2">
    <w:name w:val="Heading 2"/>
    <w:basedOn w:val="Normal"/>
    <w:next w:val="Normal"/>
    <w:qFormat/>
    <w:pPr>
      <w:spacing w:before="200" w:after="80"/>
      <w:outlineLvl w:val="1"/>
    </w:pPr>
    <w:rPr>
      <w:rFonts w:ascii="Arial" w:cs="Arial" w:eastAsia="Arial" w:hAnsi="Arial"/>
      <w:b/>
      <w:bCs/>
      <w:color w:val="C4A052"/>
      <w:sz w:val="22"/>
      <w:szCs w:val="22"/>
    </w:rPr>
  </w:style>
  <w:style w:type="paragraph" w:styleId="BodyText">
    <w:name w:val="Body Text"/>
    <w:basedOn w:val="Normal"/>
    <w:pPr>
      <w:spacing w:before="0" w:after="100" w:line="276"/>
    </w:pPr>
    <w:rPr>
      <w:rFonts w:ascii="Arial" w:cs="Arial" w:eastAsia="Arial" w:hAnsi="Arial"/>
      <w:color w:val="333333"/>
      <w:sz w:val="20"/>
      <w:szCs w:val="20"/>
    </w:rPr>
  </w:style>
  <w:style w:type="paragraph" w:styleId="SmallText">
    <w:name w:val="Small Text"/>
    <w:basedOn w:val="Normal"/>
    <w:pPr>
      <w:spacing w:before="0" w:after="80" w:line="260"/>
    </w:pPr>
    <w:rPr>
      <w:rFonts w:ascii="Arial" w:cs="Arial" w:eastAsia="Arial" w:hAnsi="Arial"/>
      <w:color w:val="333333"/>
      <w:sz w:val="18"/>
      <w:szCs w:val="18"/>
    </w:rPr>
  </w:style>
  <w:style w:type="paragraph" w:styleId="PurposeText">
    <w:name w:val="Purpose Text"/>
    <w:basedOn w:val="Normal"/>
    <w:pPr>
      <w:spacing w:before="0" w:after="140" w:line="30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2556dabc25db216b270e925600a0f032774d210.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2026-01-03T17:06:21.848Z</dcterms:created>
  <dcterms:modified xsi:type="dcterms:W3CDTF">2026-01-03T17:06:21.848Z</dcterms:modified>
</cp:coreProperties>
</file>

<file path=docProps/custom.xml><?xml version="1.0" encoding="utf-8"?>
<Properties xmlns="http://schemas.openxmlformats.org/officeDocument/2006/custom-properties" xmlns:vt="http://schemas.openxmlformats.org/officeDocument/2006/docPropsVTypes"/>
</file>