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left"/>
      </w:pPr>
      <w:r>
        <w:drawing>
          <wp:inline distT="0" distB="0" distL="0" distR="0">
            <wp:extent cx="952500" cy="762000"/>
            <wp:effectExtent t="0" r="0" b="0" l="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762000"/>
                    </a:xfrm>
                    <a:prstGeom prst="rect">
                      <a:avLst/>
                    </a:prstGeom>
                  </pic:spPr>
                </pic:pic>
              </a:graphicData>
            </a:graphic>
          </wp:inline>
        </w:drawing>
      </w:r>
    </w:p>
    <w:p>
      <w:pPr>
        <w:pStyle w:val="Title"/>
      </w:pPr>
      <w:r>
        <w:t xml:space="preserve">Turas Pricing</w:t>
      </w:r>
    </w:p>
    <w:p>
      <w:pPr>
        <w:pStyle w:val="Tagline"/>
      </w:pPr>
      <w:r>
        <w:t xml:space="preserve">Transparent. Trustworthy. Tangible insights.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C4A052" w:sz="20"/>
              <w:left w:val="single" w:color="DDDDDD" w:sz="1"/>
              <w:bottom w:val="single" w:color="DDDDDD" w:sz="1"/>
              <w:right w:val="single" w:color="DDDDDD" w:sz="1"/>
            </w:tcBorders>
            <w:shd w:fill="F8F9FA" w:val="clear"/>
            <w:tcMar>
              <w:top w:type="dxa" w:w="140"/>
              <w:left w:type="dxa" w:w="200"/>
              <w:bottom w:type="dxa" w:w="140"/>
              <w:right w:type="dxa" w:w="200"/>
            </w:tcMar>
          </w:tcPr>
          <w:p>
            <w:pPr>
              <w:spacing w:after="0"/>
            </w:pPr>
            <w:r>
              <w:rPr>
                <w:color w:val="1B365D"/>
                <w:sz w:val="21"/>
                <w:szCs w:val="21"/>
              </w:rPr>
              <w:t xml:space="preserve">Determines optimal price points and acceptable ranges—what will customers pay? Pricing analyzes how price changes affect purchase behavior and finds the revenue-maximizing price point using Van Westendorp PSM and Gabor-Granger methods.</w:t>
            </w:r>
          </w:p>
        </w:tc>
      </w:tr>
    </w:tbl>
    <w:p>
      <w:pPr>
        <w:pStyle w:val="Heading1"/>
      </w:pPr>
      <w:r>
        <w:t xml:space="preserve">What This Module Does</w:t>
      </w:r>
    </w:p>
    <w:p>
      <w:pPr>
        <w:pStyle w:val="BodyText"/>
      </w:pPr>
      <w:r>
        <w:t xml:space="preserve">Pricing is critical but difficult. What's the highest price customers will accept? How much will sales drop if you raise prices? What price maximizes revenue (not just volume)? This module provides data-driven answers to optimize your pricing strategy.</w:t>
      </w:r>
    </w:p>
    <w:p>
      <w:pPr>
        <w:pStyle w:val="BodyText"/>
      </w:pPr>
      <w:r>
        <w:t xml:space="preserve">Using Van Westendorp's Price Sensitivity Meter (four price perception questions) and Gabor-Granger demand curves, you get the full picture: acceptable price range, optimal price point, price elasticity, and revenue projections at different price levels.</w:t>
      </w:r>
    </w:p>
    <w:p>
      <w:pPr>
        <w:pStyle w:val="Heading1"/>
      </w:pPr>
      <w:r>
        <w:t xml:space="preserve">What You Get</w:t>
      </w:r>
    </w:p>
    <w:p>
      <w:pPr>
        <w:pStyle w:val="Heading2"/>
      </w:pPr>
      <w:r>
        <w:t xml:space="preserve">Van Westendorp Outputs</w:t>
      </w:r>
    </w:p>
    <w:p>
      <w:pPr>
        <w:pStyle w:val="SmallText"/>
        <w:numPr>
          <w:ilvl w:val="0"/>
          <w:numId w:val="2"/>
        </w:numPr>
      </w:pPr>
      <w:r>
        <w:rPr>
          <w:b/>
          <w:bCs/>
        </w:rPr>
        <w:t xml:space="preserve">Optimal Price Point (OPP): </w:t>
      </w:r>
      <w:r>
        <w:t xml:space="preserve">Where "too expensive" crosses "too cheap"—revenue-maximizing</w:t>
      </w:r>
    </w:p>
    <w:p>
      <w:pPr>
        <w:pStyle w:val="SmallText"/>
        <w:numPr>
          <w:ilvl w:val="0"/>
          <w:numId w:val="2"/>
        </w:numPr>
      </w:pPr>
      <w:r>
        <w:rPr>
          <w:b/>
          <w:bCs/>
        </w:rPr>
        <w:t xml:space="preserve">Acceptable price range: </w:t>
      </w:r>
      <w:r>
        <w:t xml:space="preserve">PMC (Point of Marginal Cheapness) to PME (Point of Marginal Expensiveness)</w:t>
      </w:r>
    </w:p>
    <w:p>
      <w:pPr>
        <w:pStyle w:val="SmallText"/>
        <w:numPr>
          <w:ilvl w:val="0"/>
          <w:numId w:val="2"/>
        </w:numPr>
      </w:pPr>
      <w:r>
        <w:rPr>
          <w:b/>
          <w:bCs/>
        </w:rPr>
        <w:t xml:space="preserve">Indifference Price Point (IDP): </w:t>
      </w:r>
      <w:r>
        <w:t xml:space="preserve">Equal resistance to high/low pricing</w:t>
      </w:r>
    </w:p>
    <w:p>
      <w:pPr>
        <w:pStyle w:val="SmallText"/>
        <w:numPr>
          <w:ilvl w:val="0"/>
          <w:numId w:val="2"/>
        </w:numPr>
      </w:pPr>
      <w:r>
        <w:rPr>
          <w:b/>
          <w:bCs/>
        </w:rPr>
        <w:t xml:space="preserve">Price sensitivity curves: </w:t>
      </w:r>
      <w:r>
        <w:t xml:space="preserve">Visual representation of price perceptions</w:t>
      </w:r>
    </w:p>
    <w:p>
      <w:pPr>
        <w:pStyle w:val="Heading2"/>
      </w:pPr>
      <w:r>
        <w:t xml:space="preserve">Elasticity Analysis</w:t>
      </w:r>
    </w:p>
    <w:p>
      <w:pPr>
        <w:pStyle w:val="SmallText"/>
        <w:numPr>
          <w:ilvl w:val="0"/>
          <w:numId w:val="2"/>
        </w:numPr>
      </w:pPr>
      <w:r>
        <w:rPr>
          <w:b/>
          <w:bCs/>
        </w:rPr>
        <w:t xml:space="preserve">Price elasticity coefficient: </w:t>
      </w:r>
      <w:r>
        <w:t xml:space="preserve">-2.0 means 10% price increase → 20% volume decrease</w:t>
      </w:r>
    </w:p>
    <w:p>
      <w:pPr>
        <w:pStyle w:val="SmallText"/>
        <w:numPr>
          <w:ilvl w:val="0"/>
          <w:numId w:val="2"/>
        </w:numPr>
      </w:pPr>
      <w:r>
        <w:rPr>
          <w:b/>
          <w:bCs/>
        </w:rPr>
        <w:t xml:space="preserve">Revenue optimization curves: </w:t>
      </w:r>
      <w:r>
        <w:t xml:space="preserve">Expected revenue at each price point</w:t>
      </w:r>
    </w:p>
    <w:p>
      <w:pPr>
        <w:pStyle w:val="SmallText"/>
        <w:numPr>
          <w:ilvl w:val="0"/>
          <w:numId w:val="2"/>
        </w:numPr>
      </w:pPr>
      <w:r>
        <w:rPr>
          <w:b/>
          <w:bCs/>
        </w:rPr>
        <w:t xml:space="preserve">Demand forecasting: </w:t>
      </w:r>
      <w:r>
        <w:t xml:space="preserve">Predicted volume at different prices</w:t>
      </w:r>
    </w:p>
    <w:p>
      <w:pPr>
        <w:pStyle w:val="Heading1"/>
      </w:pPr>
      <w:r>
        <w:t xml:space="preserve">How It Works</w:t>
      </w:r>
    </w:p>
    <w:p>
      <w:pPr>
        <w:pStyle w:val="Heading2"/>
      </w:pPr>
      <w:r>
        <w:t xml:space="preserve">Van Westendorp PSM (Four Questions)</w:t>
      </w:r>
    </w:p>
    <w:p>
      <w:pPr>
        <w:pStyle w:val="BodyText"/>
      </w:pPr>
      <w:r>
        <w:t xml:space="preserve">Too Expensive: At what price would you not consider buying? Too Cheap: At what price would you question quality? Expensive: At what price would you hesitate? Bargain: At what price is it a great deal?</w:t>
      </w:r>
    </w:p>
    <w:p>
      <w:pPr>
        <w:pStyle w:val="Heading2"/>
      </w:pPr>
      <w:r>
        <w:t xml:space="preserve">Finding Price Points</w:t>
      </w:r>
    </w:p>
    <w:p>
      <w:pPr>
        <w:pStyle w:val="BodyText"/>
      </w:pPr>
      <w:r>
        <w:t xml:space="preserve">Plot cumulative distributions for each question. OPP = where "too cheap" crosses "too expensive." PMC = where "too cheap" crosses "not a bargain." PME = where "too expensive" crosses "not expensive." These intersections define your pricing boundaries.</w:t>
      </w:r>
    </w:p>
    <w:p>
      <w:pPr>
        <w:pStyle w:val="Heading2"/>
      </w:pPr>
      <w:r>
        <w:t xml:space="preserve">Newton-Miller-Smith Extension</w:t>
      </w:r>
    </w:p>
    <w:p>
      <w:pPr>
        <w:pStyle w:val="BodyText"/>
      </w:pPr>
      <w:r>
        <w:t xml:space="preserve">Adds purchase probability at each price to convert PSM into revenue projections. Combines psychological price thresholds with actual purchase intent.</w:t>
      </w:r>
    </w:p>
    <w:p>
      <w:pPr>
        <w:pStyle w:val="Heading1"/>
      </w:pPr>
      <w:r>
        <w:t xml:space="preserve">Technology Used</w:t>
      </w:r>
    </w:p>
    <w:p>
      <w:pPr>
        <w:pStyle w:val="BodyText"/>
      </w:pPr>
      <w:r>
        <w:t xml:space="preserve">All packages are peer-reviewed, open-source R packages available on CRAN.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Package</w:t>
            </w:r>
          </w:p>
        </w:tc>
        <w:tc>
          <w:tcPr>
            <w:tcW w:type="dxa" w:w="7160"/>
            <w:tcBorders>
              <w:top w:val="single" w:color="DDDDDD" w:sz="1"/>
              <w:left w:val="single" w:color="DDDDDD" w:sz="1"/>
              <w:bottom w:val="single" w:color="DDDDDD" w:sz="1"/>
              <w:right w:val="single" w:color="DDDDDD" w:sz="1"/>
            </w:tcBorders>
            <w:shd w:fill="1B365D" w:val="clear"/>
          </w:tcPr>
          <w:p>
            <w:pPr>
              <w:spacing w:before="60" w:after="60"/>
            </w:pPr>
            <w:r>
              <w:rPr>
                <w:b/>
                <w:bCs/>
                <w:color w:val="FFFFFF"/>
                <w:sz w:val="18"/>
                <w:szCs w:val="18"/>
              </w:rPr>
              <w:t xml:space="preserve">Why We Use It</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pricesensitivitymeter</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Purpose-built for Van Westendorp and Gabor-Granger—implements methods correctly</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stats</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Logistic regression for demand curves and elasticity estimation</w:t>
            </w:r>
          </w:p>
        </w:tc>
      </w:tr>
      <w:tr>
        <w:tc>
          <w:tcPr>
            <w:tcW w:type="dxa" w:w="2400"/>
            <w:tcBorders>
              <w:top w:val="single" w:color="DDDDDD" w:sz="1"/>
              <w:left w:val="single" w:color="DDDDDD" w:sz="1"/>
              <w:bottom w:val="single" w:color="DDDDDD" w:sz="1"/>
              <w:right w:val="single" w:color="DDDDDD" w:sz="1"/>
            </w:tcBorders>
          </w:tcPr>
          <w:p>
            <w:pPr>
              <w:spacing w:before="50" w:after="50"/>
            </w:pPr>
            <w:r>
              <w:rPr>
                <w:b/>
                <w:bCs/>
                <w:color w:val="1B365D"/>
                <w:sz w:val="17"/>
                <w:szCs w:val="17"/>
              </w:rPr>
              <w:t xml:space="preserve">ggplot2</w:t>
            </w:r>
          </w:p>
        </w:tc>
        <w:tc>
          <w:tcPr>
            <w:tcW w:type="dxa" w:w="7160"/>
            <w:tcBorders>
              <w:top w:val="single" w:color="DDDDDD" w:sz="1"/>
              <w:left w:val="single" w:color="DDDDDD" w:sz="1"/>
              <w:bottom w:val="single" w:color="DDDDDD" w:sz="1"/>
              <w:right w:val="single" w:color="DDDDDD" w:sz="1"/>
            </w:tcBorders>
          </w:tcPr>
          <w:p>
            <w:pPr>
              <w:spacing w:before="50" w:after="50"/>
            </w:pPr>
            <w:r>
              <w:rPr>
                <w:color w:val="333333"/>
                <w:sz w:val="17"/>
                <w:szCs w:val="17"/>
              </w:rPr>
              <w:t xml:space="preserve">Professional visualization of price sensitivity curves</w:t>
            </w:r>
          </w:p>
        </w:tc>
      </w:tr>
    </w:tbl>
    <w:p>
      <w:pPr>
        <w:pStyle w:val="Heading1"/>
      </w:pPr>
      <w:r>
        <w:t xml:space="preserve">Strengths</w:t>
      </w:r>
    </w:p>
    <w:p>
      <w:pPr>
        <w:pStyle w:val="SmallText"/>
        <w:numPr>
          <w:ilvl w:val="0"/>
          <w:numId w:val="3"/>
        </w:numPr>
      </w:pPr>
      <w:r>
        <w:rPr>
          <w:b/>
          <w:bCs/>
        </w:rPr>
        <w:t xml:space="preserve">Multiple methods: </w:t>
      </w:r>
      <w:r>
        <w:t xml:space="preserve">Supports PSM, Gabor-Granger, conjoint-based pricing</w:t>
      </w:r>
    </w:p>
    <w:p>
      <w:pPr>
        <w:pStyle w:val="SmallText"/>
        <w:numPr>
          <w:ilvl w:val="0"/>
          <w:numId w:val="3"/>
        </w:numPr>
      </w:pPr>
      <w:r>
        <w:rPr>
          <w:b/>
          <w:bCs/>
        </w:rPr>
        <w:t xml:space="preserve">Revenue optimization: </w:t>
      </w:r>
      <w:r>
        <w:t xml:space="preserve">Finds profit-maximizing price, not just willingness-to-pay</w:t>
      </w:r>
    </w:p>
    <w:p>
      <w:pPr>
        <w:pStyle w:val="SmallText"/>
        <w:numPr>
          <w:ilvl w:val="0"/>
          <w:numId w:val="3"/>
        </w:numPr>
      </w:pPr>
      <w:r>
        <w:rPr>
          <w:b/>
          <w:bCs/>
        </w:rPr>
        <w:t xml:space="preserve">Visual outputs: </w:t>
      </w:r>
      <w:r>
        <w:t xml:space="preserve">Clear graphs showing price-demand relationships</w:t>
      </w:r>
    </w:p>
    <w:p>
      <w:pPr>
        <w:pStyle w:val="SmallText"/>
        <w:numPr>
          <w:ilvl w:val="0"/>
          <w:numId w:val="3"/>
        </w:numPr>
      </w:pPr>
      <w:r>
        <w:rPr>
          <w:b/>
          <w:bCs/>
        </w:rPr>
        <w:t xml:space="preserve">Segment analysis: </w:t>
      </w:r>
      <w:r>
        <w:t xml:space="preserve">Different pricing insights for different customer segments</w:t>
      </w:r>
    </w:p>
    <w:p>
      <w:pPr>
        <w:pStyle w:val="SmallText"/>
        <w:numPr>
          <w:ilvl w:val="0"/>
          <w:numId w:val="3"/>
        </w:numPr>
      </w:pPr>
      <w:r>
        <w:rPr>
          <w:b/>
          <w:bCs/>
        </w:rPr>
        <w:t xml:space="preserve">Elasticity estimates: </w:t>
      </w:r>
      <w:r>
        <w:t xml:space="preserve">Quantifies price sensitivity precisely</w:t>
      </w:r>
    </w:p>
    <w:p>
      <w:pPr>
        <w:pStyle w:val="SmallText"/>
        <w:numPr>
          <w:ilvl w:val="0"/>
          <w:numId w:val="3"/>
        </w:numPr>
      </w:pPr>
      <w:r>
        <w:rPr>
          <w:b/>
          <w:bCs/>
        </w:rPr>
        <w:t xml:space="preserve">Scenario testing: </w:t>
      </w:r>
      <w:r>
        <w:t xml:space="preserve">Model "what if" pricing changes</w:t>
      </w:r>
    </w:p>
    <w:p>
      <w:pPr>
        <w:pStyle w:val="Heading1"/>
      </w:pPr>
      <w:r>
        <w:t xml:space="preserve">Limitations</w:t>
      </w:r>
    </w:p>
    <w:p>
      <w:pPr>
        <w:pStyle w:val="SmallText"/>
        <w:numPr>
          <w:ilvl w:val="0"/>
          <w:numId w:val="4"/>
        </w:numPr>
      </w:pPr>
      <w:r>
        <w:rPr>
          <w:b/>
          <w:bCs/>
        </w:rPr>
        <w:t xml:space="preserve">Stated vs. actual: </w:t>
      </w:r>
      <w:r>
        <w:t xml:space="preserve">Survey responses may not match real purchase behavior</w:t>
      </w:r>
    </w:p>
    <w:p>
      <w:pPr>
        <w:pStyle w:val="SmallText"/>
        <w:numPr>
          <w:ilvl w:val="0"/>
          <w:numId w:val="4"/>
        </w:numPr>
      </w:pPr>
      <w:r>
        <w:rPr>
          <w:b/>
          <w:bCs/>
        </w:rPr>
        <w:t xml:space="preserve">Competitive context: </w:t>
      </w:r>
      <w:r>
        <w:t xml:space="preserve">Doesn't automatically account for competitor pricing</w:t>
      </w:r>
    </w:p>
    <w:p>
      <w:pPr>
        <w:pStyle w:val="SmallText"/>
        <w:numPr>
          <w:ilvl w:val="0"/>
          <w:numId w:val="4"/>
        </w:numPr>
      </w:pPr>
      <w:r>
        <w:rPr>
          <w:b/>
          <w:bCs/>
        </w:rPr>
        <w:t xml:space="preserve">Assumes rational decisions: </w:t>
      </w:r>
      <w:r>
        <w:t xml:space="preserve">Real purchases influenced by emotion, context</w:t>
      </w:r>
    </w:p>
    <w:p>
      <w:pPr>
        <w:pStyle w:val="SmallText"/>
        <w:numPr>
          <w:ilvl w:val="0"/>
          <w:numId w:val="4"/>
        </w:numPr>
      </w:pPr>
      <w:r>
        <w:rPr>
          <w:b/>
          <w:bCs/>
        </w:rPr>
        <w:t xml:space="preserve">Static analysis: </w:t>
      </w:r>
      <w:r>
        <w:t xml:space="preserve">Doesn't capture dynamic pricing or time-based changes</w:t>
      </w:r>
    </w:p>
    <w:p>
      <w:pPr>
        <w:pStyle w:val="Heading1"/>
      </w:pPr>
      <w:r>
        <w:t xml:space="preserve">Sample Size Requirements</w:t>
      </w:r>
    </w:p>
    <w:p>
      <w:pPr>
        <w:pStyle w:val="BodyText"/>
      </w:pPr>
      <w:r>
        <w:t xml:space="preserve">Minimum n≥200 for reliable PSM curves. Recommend n≥400 for segment-level pricing analysis. Gabor-Granger requires enough sample at each tested price point (n≥50 per price).</w:t>
      </w:r>
    </w:p>
    <w:p>
      <w:pPr>
        <w:pStyle w:val="Heading1"/>
      </w:pPr>
      <w:r>
        <w:t xml:space="preserve">Best Use Cases</w:t>
      </w:r>
    </w:p>
    <w:p>
      <w:pPr>
        <w:pStyle w:val="Heading2"/>
      </w:pPr>
      <w:r>
        <w:t xml:space="preserve">Ideal For</w:t>
      </w:r>
    </w:p>
    <w:p>
      <w:pPr>
        <w:pStyle w:val="SmallText"/>
        <w:numPr>
          <w:ilvl w:val="0"/>
          <w:numId w:val="3"/>
        </w:numPr>
      </w:pPr>
      <w:r>
        <w:t xml:space="preserve">New product launch pricing</w:t>
      </w:r>
    </w:p>
    <w:p>
      <w:pPr>
        <w:pStyle w:val="SmallText"/>
        <w:numPr>
          <w:ilvl w:val="0"/>
          <w:numId w:val="3"/>
        </w:numPr>
      </w:pPr>
      <w:r>
        <w:t xml:space="preserve">Pricing strategy optimization for existing products</w:t>
      </w:r>
    </w:p>
    <w:p>
      <w:pPr>
        <w:pStyle w:val="SmallText"/>
        <w:numPr>
          <w:ilvl w:val="0"/>
          <w:numId w:val="3"/>
        </w:numPr>
      </w:pPr>
      <w:r>
        <w:t xml:space="preserve">Understanding price-value perceptions</w:t>
      </w:r>
    </w:p>
    <w:p>
      <w:pPr>
        <w:pStyle w:val="SmallText"/>
        <w:numPr>
          <w:ilvl w:val="0"/>
          <w:numId w:val="3"/>
        </w:numPr>
      </w:pPr>
      <w:r>
        <w:t xml:space="preserve">Competitive pricing analysis</w:t>
      </w:r>
    </w:p>
    <w:p>
      <w:pPr>
        <w:pStyle w:val="SmallText"/>
        <w:numPr>
          <w:ilvl w:val="0"/>
          <w:numId w:val="3"/>
        </w:numPr>
      </w:pPr>
      <w:r>
        <w:t xml:space="preserve">Segment-based pricing strategies</w:t>
      </w:r>
    </w:p>
    <w:p>
      <w:pPr>
        <w:pStyle w:val="Heading2"/>
      </w:pPr>
      <w:r>
        <w:t xml:space="preserve">Not Ideal For</w:t>
      </w:r>
    </w:p>
    <w:p>
      <w:pPr>
        <w:pStyle w:val="SmallText"/>
        <w:numPr>
          <w:ilvl w:val="0"/>
          <w:numId w:val="4"/>
        </w:numPr>
      </w:pPr>
      <w:r>
        <w:t xml:space="preserve">Commodity products with no differentiation</w:t>
      </w:r>
    </w:p>
    <w:p>
      <w:pPr>
        <w:pStyle w:val="SmallText"/>
        <w:numPr>
          <w:ilvl w:val="0"/>
          <w:numId w:val="4"/>
        </w:numPr>
      </w:pPr>
      <w:r>
        <w:t xml:space="preserve">Highly volatile markets (prices change daily)</w:t>
      </w:r>
    </w:p>
    <w:p>
      <w:pPr>
        <w:pStyle w:val="SmallText"/>
        <w:numPr>
          <w:ilvl w:val="0"/>
          <w:numId w:val="4"/>
        </w:numPr>
      </w:pPr>
      <w:r>
        <w:t xml:space="preserve">Products with network effects (value depends on # users)</w:t>
      </w:r>
    </w:p>
    <w:p>
      <w:pPr>
        <w:pStyle w:val="SmallText"/>
        <w:numPr>
          <w:ilvl w:val="0"/>
          <w:numId w:val="4"/>
        </w:numPr>
      </w:pPr>
      <w:r>
        <w:t xml:space="preserve">Luxury goods where higher price signals quality (Veblen goods)</w:t>
      </w:r>
    </w:p>
    <w:p>
      <w:pPr>
        <w:pStyle w:val="Heading1"/>
      </w:pPr>
      <w:r>
        <w:t xml:space="preserve">Key Takeaways</w:t>
      </w:r>
    </w:p>
    <w:p>
      <w:pPr>
        <w:pStyle w:val="SmallText"/>
        <w:numPr>
          <w:ilvl w:val="0"/>
          <w:numId w:val="3"/>
        </w:numPr>
      </w:pPr>
      <w:r>
        <w:t xml:space="preserve">OPP (Optimal Price Point) is where fewest people are excluded—maximize this</w:t>
      </w:r>
    </w:p>
    <w:p>
      <w:pPr>
        <w:pStyle w:val="SmallText"/>
        <w:numPr>
          <w:ilvl w:val="0"/>
          <w:numId w:val="3"/>
        </w:numPr>
      </w:pPr>
      <w:r>
        <w:t xml:space="preserve">Acceptable range (PMC to PME) defines your safe pricing zone</w:t>
      </w:r>
    </w:p>
    <w:p>
      <w:pPr>
        <w:pStyle w:val="SmallText"/>
        <w:numPr>
          <w:ilvl w:val="0"/>
          <w:numId w:val="3"/>
        </w:numPr>
      </w:pPr>
      <w:r>
        <w:t xml:space="preserve">Elasticity &lt;-1.0 means demand is sensitive—price increases hurt volume significantly</w:t>
      </w:r>
    </w:p>
    <w:p>
      <w:pPr>
        <w:pStyle w:val="SmallText"/>
        <w:numPr>
          <w:ilvl w:val="0"/>
          <w:numId w:val="3"/>
        </w:numPr>
      </w:pPr>
      <w:r>
        <w:t xml:space="preserve">Revenue optimization ≠ volume optimization—find the balance</w:t>
      </w:r>
    </w:p>
    <w:p>
      <w:pPr>
        <w:pStyle w:val="SmallText"/>
        <w:numPr>
          <w:ilvl w:val="0"/>
          <w:numId w:val="3"/>
        </w:numPr>
      </w:pPr>
      <w:r>
        <w:t xml:space="preserve">Segment-level analysis often reveals different price sensitivity by customer type</w:t>
      </w:r>
    </w:p>
    <w:p>
      <w:pPr>
        <w:pStyle w:val="Heading1"/>
      </w:pPr>
      <w:r>
        <w:t xml:space="preserve">The Bottom Line</w:t>
      </w:r>
    </w:p>
    <w:p>
      <w:pPr>
        <w:pStyle w:val="BodyText"/>
      </w:pPr>
      <w:r>
        <w:t xml:space="preserve">Pricing takes the guesswork out of pricing decisions with rigorous statistical analysis of price sensitivity. Whether using Van Westendorp's proven method or elasticity modeling, you get clear guidance on optimal price points and acceptable ranges. The module helps you balance volume and margin to maximize revenue—backed by quantitative evidence rather than gut feel.</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W w:type="dxa" w:w="9560"/>
            <w:tcBorders>
              <w:top w:val="single" w:color="1B365D" w:sz="1"/>
              <w:left w:val="single" w:color="1B365D" w:sz="1"/>
              <w:bottom w:val="single" w:color="1B365D" w:sz="1"/>
              <w:right w:val="single" w:color="1B365D" w:sz="1"/>
            </w:tcBorders>
            <w:shd w:fill="1B365D" w:val="clear"/>
            <w:tcMar>
              <w:top w:type="dxa" w:w="140"/>
              <w:left w:type="dxa" w:w="200"/>
              <w:bottom w:type="dxa" w:w="140"/>
              <w:right w:type="dxa" w:w="200"/>
            </w:tcMar>
          </w:tcPr>
          <w:p>
            <w:pPr>
              <w:spacing w:after="50"/>
              <w:jc w:val="center"/>
            </w:pPr>
            <w:r>
              <w:rPr>
                <w:b/>
                <w:bCs/>
                <w:color w:val="FFFFFF"/>
                <w:sz w:val="22"/>
                <w:szCs w:val="22"/>
              </w:rPr>
              <w:t xml:space="preserve">Questions or Support</w:t>
            </w:r>
          </w:p>
          <w:p>
            <w:pPr>
              <w:spacing w:after="0"/>
              <w:jc w:val="center"/>
            </w:pPr>
            <w:r>
              <w:rPr>
                <w:color w:val="C4A052"/>
                <w:sz w:val="18"/>
                <w:szCs w:val="18"/>
              </w:rPr>
              <w:t xml:space="preserve">duncan@researchlamppost.co.za  •  The Research LampPost  •  SAMRA Member</w:t>
            </w:r>
          </w:p>
        </w:tc>
      </w:tr>
    </w:tbl>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1B365D"/>
        <w:sz w:val="16"/>
        <w:szCs w:val="16"/>
      </w:rPr>
      <w:t xml:space="preserve">duncan@researchlamppost.co.za</w:t>
    </w:r>
    <w:r>
      <w:rPr>
        <w:color w:val="C4A052"/>
        <w:sz w:val="16"/>
        <w:szCs w:val="16"/>
      </w:rPr>
      <w:t xml:space="preserve">  •  </w:t>
    </w:r>
    <w:r>
      <w:rPr>
        <w:color w:val="333333"/>
        <w:sz w:val="16"/>
        <w:szCs w:val="16"/>
      </w:rPr>
      <w:t xml:space="preserve">Page </w:t>
    </w:r>
    <w:r>
      <w:rPr>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B365D"/>
        <w:sz w:val="16"/>
        <w:szCs w:val="16"/>
      </w:rPr>
      <w:t xml:space="preserve">Turas Pricing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80"/>
      </w:pPr>
      <w:rPr>
        <w:color w:val="C4A052"/>
      </w:rPr>
    </w:lvl>
  </w:abstractNum>
  <w:abstractNum w:abstractNumId="3" w15:restartNumberingAfterBreak="0">
    <w:multiLevelType w:val="hybridMultilevel"/>
    <w:lvl w:ilvl="0" w15:tentative="1">
      <w:start w:val="1"/>
      <w:numFmt w:val="bullet"/>
      <w:lvlText w:val="⚠"/>
      <w:lvlJc w:val="left"/>
      <w:pPr>
        <w:ind w:left="450" w:hanging="280"/>
      </w:pPr>
      <w:rPr>
        <w:color w:val="CC6600"/>
      </w:rPr>
    </w:lvl>
  </w:abstractNum>
  <w:abstractNum w:abstractNumId="4"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60"/>
      <w:jc w:val="left"/>
    </w:pPr>
    <w:rPr>
      <w:rFonts w:ascii="Arial" w:cs="Arial" w:eastAsia="Arial" w:hAnsi="Arial"/>
      <w:b/>
      <w:bCs/>
      <w:color w:val="1B365D"/>
      <w:sz w:val="52"/>
      <w:szCs w:val="52"/>
    </w:rPr>
  </w:style>
  <w:style w:type="paragraph" w:styleId="Tagline">
    <w:name w:val="Tagline"/>
    <w:basedOn w:val="Normal"/>
    <w:pPr>
      <w:spacing w:before="0" w:after="120"/>
      <w:jc w:val="left"/>
    </w:pPr>
    <w:rPr>
      <w:rFonts w:ascii="Arial" w:cs="Arial" w:eastAsia="Arial" w:hAnsi="Arial"/>
      <w:b w:val="false"/>
      <w:bCs w:val="false"/>
      <w:i/>
      <w:iCs/>
      <w:color w:val="C4A052"/>
      <w:sz w:val="24"/>
      <w:szCs w:val="24"/>
    </w:rPr>
  </w:style>
  <w:style w:type="paragraph" w:styleId="Heading1">
    <w:name w:val="Heading 1"/>
    <w:basedOn w:val="Normal"/>
    <w:next w:val="Normal"/>
    <w:qFormat/>
    <w:pPr>
      <w:spacing w:before="280" w:after="120"/>
      <w:outlineLvl w:val="0"/>
    </w:pPr>
    <w:rPr>
      <w:rFonts w:ascii="Arial" w:cs="Arial" w:eastAsia="Arial" w:hAnsi="Arial"/>
      <w:b/>
      <w:bCs/>
      <w:color w:val="1B365D"/>
      <w:sz w:val="26"/>
      <w:szCs w:val="26"/>
    </w:rPr>
  </w:style>
  <w:style w:type="paragraph" w:styleId="Heading2">
    <w:name w:val="Heading 2"/>
    <w:basedOn w:val="Normal"/>
    <w:next w:val="Normal"/>
    <w:qFormat/>
    <w:pPr>
      <w:spacing w:before="200" w:after="80"/>
      <w:outlineLvl w:val="1"/>
    </w:pPr>
    <w:rPr>
      <w:rFonts w:ascii="Arial" w:cs="Arial" w:eastAsia="Arial" w:hAnsi="Arial"/>
      <w:b/>
      <w:bCs/>
      <w:color w:val="C4A052"/>
      <w:sz w:val="22"/>
      <w:szCs w:val="22"/>
    </w:rPr>
  </w:style>
  <w:style w:type="paragraph" w:styleId="BodyText">
    <w:name w:val="Body Text"/>
    <w:basedOn w:val="Normal"/>
    <w:pPr>
      <w:spacing w:before="0" w:after="100" w:line="276"/>
    </w:pPr>
    <w:rPr>
      <w:rFonts w:ascii="Arial" w:cs="Arial" w:eastAsia="Arial" w:hAnsi="Arial"/>
      <w:color w:val="333333"/>
      <w:sz w:val="20"/>
      <w:szCs w:val="20"/>
    </w:rPr>
  </w:style>
  <w:style w:type="paragraph" w:styleId="SmallText">
    <w:name w:val="Small Text"/>
    <w:basedOn w:val="Normal"/>
    <w:pPr>
      <w:spacing w:before="0" w:after="80" w:line="260"/>
    </w:pPr>
    <w:rPr>
      <w:rFonts w:ascii="Arial" w:cs="Arial" w:eastAsia="Arial" w:hAnsi="Arial"/>
      <w:color w:val="333333"/>
      <w:sz w:val="18"/>
      <w:szCs w:val="18"/>
    </w:rPr>
  </w:style>
  <w:style w:type="paragraph" w:styleId="PurposeText">
    <w:name w:val="Purpose Text"/>
    <w:basedOn w:val="Normal"/>
    <w:pPr>
      <w:spacing w:before="0" w:after="140" w:line="300"/>
    </w:pPr>
    <w:rPr>
      <w:rFonts w:ascii="Arial" w:cs="Arial" w:eastAsia="Arial" w:hAnsi="Arial"/>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2556dabc25db216b270e925600a0f032774d210.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2026-01-03T17:06:21.774Z</dcterms:created>
  <dcterms:modified xsi:type="dcterms:W3CDTF">2026-01-03T17:06:21.774Z</dcterms:modified>
</cp:coreProperties>
</file>

<file path=docProps/custom.xml><?xml version="1.0" encoding="utf-8"?>
<Properties xmlns="http://schemas.openxmlformats.org/officeDocument/2006/custom-properties" xmlns:vt="http://schemas.openxmlformats.org/officeDocument/2006/docPropsVTypes"/>
</file>