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CONFIDENCE MODULE</w:t>
        <w:br/>
        <w:t>Reference Guide: Uncertainty, Confidence Intervals, and Responsible Use</w:t>
      </w:r>
    </w:p>
    <w:p>
      <w:r>
        <w:br/>
        <w:t>Purpose</w:t>
        <w:br/>
        <w:t>This document is an authoritative reference for the Confidence module in the Turas analytics system. It explains when and where to use confidence and uncertainty methods, what they mean (and what they do not mean), how Turas implements them, which R packages are used, what alternative approaches exist, and the recommended default practices to ensure consistency and defensibility. This is not a user manual and does not describe operational steps.</w:t>
      </w:r>
    </w:p>
    <w:p>
      <w:r>
        <w:t>1. What the Confidence Module Exists to Do</w:t>
        <w:br/>
        <w:t>The Confidence module exists to quantify and communicate uncertainty in survey estimates. It supports disciplined interpretation of percentages, means, subgroup differences, and tracking movement by explicitly acknowledging sampling variability and design effects.</w:t>
      </w:r>
    </w:p>
    <w:p>
      <w:r>
        <w:t>2. When to Use Confidence (and When Not To)</w:t>
        <w:br/>
        <w:t>Confidence methods should be used when reporting headline estimates, comparing groups, interpreting change over time, or when small differences risk being over-interpreted. They should not be used as substitutes for causal inference, driver analysis, or to correct biased measurement.</w:t>
      </w:r>
    </w:p>
    <w:p>
      <w:r>
        <w:t>In non-probability samples, confidence intervals should be framed as indicators of uncertainty conditional on the achieved sample, not as guarantees about the population.</w:t>
      </w:r>
    </w:p>
    <w:p>
      <w:r>
        <w:t>3. What Confidence Intervals Really Mean</w:t>
        <w:br/>
        <w:t>Frequentist confidence intervals describe long-run coverage properties, not the probability that the true value lies in a specific interval. Bayesian credible intervals do allow probabilistic interpretation, conditional on model and prior assumptions. Bootstrap intervals estimate stability through resampling but do not correct bias.</w:t>
      </w:r>
    </w:p>
    <w:p>
      <w:r>
        <w:t>4. Where Confidence Methods Are Used in Turas</w:t>
        <w:br/>
        <w:t>Turas applies confidence methods to proportions, means, and study-level diagnostics such as effective sample size and design effect when weights are used.</w:t>
      </w:r>
    </w:p>
    <w:p>
      <w:r>
        <w:t>5. Common Misinterpretations</w:t>
        <w:br/>
        <w:t>Overlapping intervals do not automatically imply no difference. Statistical significance does not imply practical importance. Intervals are not guarantees.</w:t>
      </w:r>
    </w:p>
    <w:p>
      <w:r>
        <w:t>6. How Turas Implements Confidence</w:t>
        <w:br/>
        <w:t>Turas enforces explicit mappings, separates weighted and unweighted paths, computes effective sample size to prevent overconfidence, and surfaces representativeness warnings where relevant.</w:t>
      </w:r>
    </w:p>
    <w:p>
      <w:r>
        <w:t>7. R Packages Used</w:t>
        <w:br/>
        <w:t>The Confidence module references the following non-base packages in the Turas archive:</w:t>
        <w:br/>
        <w:t>- shiny, shinyFiles</w:t>
        <w:br/>
        <w:t>- openxlsx, readxl</w:t>
        <w:br/>
        <w:t>- dplyr, data.table</w:t>
        <w:br/>
        <w:t>- tools</w:t>
      </w:r>
    </w:p>
    <w:p>
      <w:r>
        <w:t>8. Alternatives and Extensions</w:t>
        <w:br/>
        <w:t>Alternatives include design-based inference for true probability samples, model-based uncertainty for analytical models, permutation tests, and Bayesian or exact methods for small samples or extreme proportions.</w:t>
      </w:r>
    </w:p>
    <w:p>
      <w:r>
        <w:t>9. Recommended Default Practices (Turas House Standards)</w:t>
      </w:r>
    </w:p>
    <w:p>
      <w:r>
        <w:t>The following defaults are recommended to ensure consistency across analyses unless there is a clear, documented reason to deviate:</w:t>
      </w:r>
    </w:p>
    <w:p>
      <w:r>
        <w:t>9.1 Proportions (Percentages)</w:t>
        <w:br/>
        <w:t>- Default interval: Wilson score interval.</w:t>
        <w:br/>
        <w:t>- Use normal approximation (±1.96 * SE) only when effective base size exceeds approximately 200 and proportions are not near 0% or 100%.</w:t>
        <w:br/>
        <w:t>- For very small effective bases or extreme proportions, prefer Bayesian Beta-Binomial credible intervals with weakly informative priors.</w:t>
        <w:br/>
        <w:t>- Always report the effective base size when weights are applied.</w:t>
      </w:r>
    </w:p>
    <w:p>
      <w:r>
        <w:t>9.2 Means (Scale-Based Metrics)</w:t>
        <w:br/>
        <w:t>- Default interval: t-distribution interval using effective sample size when weighted.</w:t>
        <w:br/>
        <w:t>- Use bootstrap intervals when distributions are highly skewed or when scale assumptions are questionable.</w:t>
        <w:br/>
        <w:t>- Avoid over-emphasising very small mean differences unless they are consistent across waves or groups.</w:t>
      </w:r>
    </w:p>
    <w:p>
      <w:r>
        <w:t>9.3 Subgroup Comparisons</w:t>
        <w:br/>
        <w:t>- Do not rely on visual overlap of intervals as a formal test.</w:t>
        <w:br/>
        <w:t>- Where explicit inference is required, compute confidence intervals for differences rather than comparing intervals separately.</w:t>
        <w:br/>
        <w:t>- Treat subgroup results with effective bases below agreed thresholds as directional only.</w:t>
      </w:r>
    </w:p>
    <w:p>
      <w:r>
        <w:t>9.4 Tracking and Change Over Time</w:t>
        <w:br/>
        <w:t>- Treat single-wave changes within the historical volatility band as noise unless corroborated.</w:t>
        <w:br/>
        <w:t>- Use confidence intervals to contextualise movement, not to dramatise it.</w:t>
        <w:br/>
        <w:t>- Avoid definitive language for small changes, even if statistically distinguishable.</w:t>
      </w:r>
    </w:p>
    <w:p>
      <w:r>
        <w:t>9.5 Weighted Studies</w:t>
        <w:br/>
        <w:t>- Always compute and reference effective sample size (Kish).</w:t>
        <w:br/>
        <w:t>- Treat highly unequal weights (high design effect) as a signal to moderate confidence in fine-grained comparisons.</w:t>
        <w:br/>
        <w:t>- Do not compare weighted and unweighted results without explicit explanation.</w:t>
      </w:r>
    </w:p>
    <w:p>
      <w:r>
        <w:t>10. Reporting Language Guidance</w:t>
        <w:br/>
        <w:t>Recommended phrasing includes:</w:t>
        <w:br/>
        <w:t>- “likely higher/lower than…”</w:t>
        <w:br/>
        <w:t>- “directionally different”</w:t>
        <w:br/>
        <w:t>- “within the range of historical variation”</w:t>
      </w:r>
    </w:p>
    <w:p>
      <w:r>
        <w:t>Avoid:</w:t>
        <w:br/>
        <w:t>- “proved”, “guaranteed”, “definitive”</w:t>
        <w:br/>
        <w:t>- implying causality from descriptive differences.</w:t>
      </w:r>
    </w:p>
    <w:p>
      <w:r>
        <w:t>Final Perspective</w:t>
        <w:br/>
        <w:t>Confidence methods are a discipline, not a formality. The Turas Confidence module exists to make uncertainty explicit, to prevent overconfidence—especially in weighted and subgroup analyses—and to support reporting that is accurate, cautious, and defensible.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