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120"/>
        <w:jc w:val="left"/>
      </w:pPr>
      <w:r>
        <w:rPr>
          <w:rFonts w:ascii="Arial" w:cs="Arial" w:eastAsia="Arial" w:hAnsi="Arial"/>
          <w:b/>
          <w:bCs/>
          <w:color w:val="1A2E4A"/>
          <w:sz w:val="72"/>
          <w:szCs w:val="72"/>
        </w:rPr>
        <w:t xml:space="preserve">PageEngine</w:t>
      </w:r>
    </w:p>
    <w:p>
      <w:pPr>
        <w:spacing w:before="0" w:after="80"/>
      </w:pPr>
      <w:r>
        <w:rPr>
          <w:rFonts w:ascii="Arial" w:cs="Arial" w:eastAsia="Arial" w:hAnsi="Arial"/>
          <w:color w:val="0E7490"/>
          <w:sz w:val="32"/>
          <w:szCs w:val="32"/>
        </w:rPr>
        <w:t xml:space="preserve">AI-Powered Interactive Learning &amp; Narrative</w:t>
      </w:r>
    </w:p>
    <w:p>
      <w:pPr>
        <w:pBdr>
          <w:bottom w:val="single" w:color="0E7490" w:sz="12" w:space="1"/>
        </w:pBdr>
        <w:spacing w:before="0" w:after="480"/>
      </w:pPr>
      <w:r>
        <w:t xml:space="preserve"/>
      </w:r>
    </w:p>
    <w:p>
      <w:pPr>
        <w:spacing w:before="0" w:after="80"/>
      </w:pPr>
      <w:r>
        <w:rPr>
          <w:rFonts w:ascii="Arial" w:cs="Arial" w:eastAsia="Arial" w:hAnsi="Arial"/>
          <w:color w:val="475569"/>
          <w:sz w:val="24"/>
          <w:szCs w:val="24"/>
        </w:rPr>
        <w:t xml:space="preserve">Platform Overview for Business Audiences</w:t>
      </w:r>
    </w:p>
    <w:p>
      <w:pPr>
        <w:spacing w:before="0" w:after="3200"/>
      </w:pPr>
      <w:r>
        <w:rPr>
          <w:rFonts w:ascii="Arial" w:cs="Arial" w:eastAsia="Arial" w:hAnsi="Arial"/>
          <w:color w:val="475569"/>
          <w:sz w:val="22"/>
          <w:szCs w:val="22"/>
        </w:rPr>
        <w:t xml:space="preserve">Version 1.0  ·  March 2025</w:t>
      </w:r>
    </w:p>
    <w:p>
      <w:r>
        <w:br w:type="page"/>
      </w:r>
    </w:p>
    <w:p>
      <w:pPr>
        <w:pStyle w:val="Heading1"/>
        <w:spacing w:before="400" w:after="160"/>
      </w:pPr>
      <w:r>
        <w:rPr>
          <w:rFonts w:ascii="Arial" w:cs="Arial" w:eastAsia="Arial" w:hAnsi="Arial"/>
          <w:b/>
          <w:bCs/>
          <w:color w:val="1A2E4A"/>
          <w:sz w:val="36"/>
          <w:szCs w:val="36"/>
        </w:rPr>
        <w:t xml:space="preserve">What Is PageEngine?</w:t>
      </w:r>
    </w:p>
    <w:p>
      <w:pPr>
        <w:pBdr>
          <w:bottom w:val="single" w:color="0E7490" w:sz="4" w:space="1"/>
        </w:pBdr>
        <w:spacing w:before="120" w:after="120"/>
      </w:pPr>
      <w:r>
        <w:t xml:space="preserve"/>
      </w:r>
    </w:p>
    <w:p>
      <w:pPr>
        <w:spacing w:before="0" w:after="80"/>
      </w:pPr>
      <w:r>
        <w:t xml:space="preserve"/>
      </w:r>
    </w:p>
    <w:p>
      <w:pPr>
        <w:spacing w:before="0" w:after="120"/>
      </w:pPr>
      <w:r>
        <w:rPr>
          <w:rFonts w:ascii="Arial" w:cs="Arial" w:eastAsia="Arial" w:hAnsi="Arial"/>
          <w:color w:val="475569"/>
          <w:sz w:val="22"/>
          <w:szCs w:val="22"/>
        </w:rPr>
        <w:t xml:space="preserve">PageEngine is a platform that uses artificial intelligence to create interactive experiences — stories, training scenarios, educational modules — where every participant follows a different path depending on the decisions they make.</w:t>
      </w:r>
    </w:p>
    <w:p>
      <w:pPr>
        <w:spacing w:before="0" w:after="80"/>
      </w:pPr>
      <w:r>
        <w:t xml:space="preserve"/>
      </w:r>
    </w:p>
    <w:p>
      <w:pPr>
        <w:spacing w:before="0" w:after="120"/>
      </w:pPr>
      <w:r>
        <w:rPr>
          <w:rFonts w:ascii="Arial" w:cs="Arial" w:eastAsia="Arial" w:hAnsi="Arial"/>
          <w:color w:val="475569"/>
          <w:sz w:val="22"/>
          <w:szCs w:val="22"/>
        </w:rPr>
        <w:t xml:space="preserve">Unlike a video or a document, a PageEngine experience responds to choices. Unlike a test or quiz, it does not simply mark answers right or wrong. It places people inside a situation, lets them decide how to act, and shows them the consequences of those decisions — written freshly for each participant, in real time, by AI.</w:t>
      </w:r>
    </w:p>
    <w:p>
      <w:pPr>
        <w:spacing w:before="0" w:after="80"/>
      </w:pPr>
      <w:r>
        <w:t xml:space="preserve"/>
      </w:r>
    </w:p>
    <w:p>
      <w:pPr>
        <w:spacing w:before="0" w:after="120"/>
      </w:pPr>
      <w:r>
        <w:rPr>
          <w:rFonts w:ascii="Arial" w:cs="Arial" w:eastAsia="Arial" w:hAnsi="Arial"/>
          <w:color w:val="475569"/>
          <w:sz w:val="22"/>
          <w:szCs w:val="22"/>
        </w:rPr>
        <w:t xml:space="preserve">The same platform powers two very different products: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Borders>
              <w:top w:val="single" w:color="0E7490" w:sz="1"/>
              <w:left w:val="single" w:color="0E7490" w:sz="1"/>
              <w:bottom w:val="single" w:color="0E7490" w:sz="1"/>
              <w:right w:val="single" w:color="0E7490" w:sz="1"/>
            </w:tcBorders>
            <w:shd w:fill="0E7490" w:val="clear"/>
            <w:tcMar>
              <w:top w:type="dxa" w:w="80"/>
              <w:left w:type="dxa" w:w="140"/>
              <w:bottom w:type="dxa" w:w="80"/>
              <w:right w:type="dxa" w:w="140"/>
            </w:tcMar>
          </w:tcPr>
          <w:p>
            <w:r>
              <w:rPr>
                <w:rFonts w:ascii="Arial" w:cs="Arial" w:eastAsia="Arial" w:hAnsi="Arial"/>
                <w:b/>
                <w:bCs/>
                <w:color w:val="FFFFFF"/>
                <w:sz w:val="22"/>
                <w:szCs w:val="22"/>
              </w:rPr>
              <w:t xml:space="preserve">Turn To Page</w:t>
            </w:r>
          </w:p>
        </w:tc>
        <w:tc>
          <w:tcPr>
            <w:tcBorders>
              <w:top w:val="single" w:color="1A2E4A" w:sz="1"/>
              <w:left w:val="single" w:color="1A2E4A" w:sz="1"/>
              <w:bottom w:val="single" w:color="1A2E4A" w:sz="1"/>
              <w:right w:val="single" w:color="1A2E4A" w:sz="1"/>
            </w:tcBorders>
            <w:shd w:fill="1A2E4A" w:val="clear"/>
            <w:tcMar>
              <w:top w:type="dxa" w:w="80"/>
              <w:left w:type="dxa" w:w="140"/>
              <w:bottom w:type="dxa" w:w="80"/>
              <w:right w:type="dxa" w:w="140"/>
            </w:tcMar>
          </w:tcPr>
          <w:p>
            <w:r>
              <w:rPr>
                <w:rFonts w:ascii="Arial" w:cs="Arial" w:eastAsia="Arial" w:hAnsi="Arial"/>
                <w:b/>
                <w:bCs/>
                <w:color w:val="FFFFFF"/>
                <w:sz w:val="22"/>
                <w:szCs w:val="22"/>
              </w:rPr>
              <w:t xml:space="preserve">PageEngine for Business</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A consumer subscription service for adults who want interactive stories — the modern heir to the Choose Your Own Adventure books of the 1980s.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A B2B platform licensed to organisations who want to create their own interactive training, education, or branded experiences.</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Readers choose their path through original AI-generated fiction, arriving at personalised endings.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Employees, learners, or customers navigate realistic scenarios that develop real-world competency.</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Experiences are published like books — one platform, many stories.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Organisations configure the platform to their context, people, and learning objectives.</w:t>
            </w:r>
          </w:p>
        </w:tc>
      </w:tr>
    </w:tbl>
    <w:p>
      <w:pPr>
        <w:spacing w:before="0" w:after="240"/>
      </w:pPr>
      <w:r>
        <w:t xml:space="preserve"/>
      </w:r>
    </w:p>
    <w:p>
      <w:pPr>
        <w:spacing w:before="0" w:after="120"/>
      </w:pPr>
      <w:r>
        <w:rPr>
          <w:rFonts w:ascii="Arial" w:cs="Arial" w:eastAsia="Arial" w:hAnsi="Arial"/>
          <w:color w:val="475569"/>
          <w:sz w:val="22"/>
          <w:szCs w:val="22"/>
        </w:rPr>
        <w:t xml:space="preserve">Both products run on exactly the same engine. The intelligence, the architecture, and the quality of the experience are identical. Only the content and the presentation differ.</w:t>
      </w:r>
    </w:p>
    <w:p>
      <w:pPr>
        <w:spacing w:before="0" w:after="240"/>
      </w:pPr>
      <w:r>
        <w:t xml:space="preserve"/>
      </w:r>
    </w:p>
    <w:p>
      <w:pPr>
        <w:pStyle w:val="Heading1"/>
        <w:spacing w:before="400" w:after="160"/>
      </w:pPr>
      <w:r>
        <w:rPr>
          <w:rFonts w:ascii="Arial" w:cs="Arial" w:eastAsia="Arial" w:hAnsi="Arial"/>
          <w:b/>
          <w:bCs/>
          <w:color w:val="1A2E4A"/>
          <w:sz w:val="36"/>
          <w:szCs w:val="36"/>
        </w:rPr>
        <w:t xml:space="preserve">The Platform and the Presentation Layer</w:t>
      </w:r>
    </w:p>
    <w:p>
      <w:pPr>
        <w:pBdr>
          <w:bottom w:val="single" w:color="0E7490" w:sz="4" w:space="1"/>
        </w:pBdr>
        <w:spacing w:before="120" w:after="120"/>
      </w:pPr>
      <w:r>
        <w:t xml:space="preserve"/>
      </w:r>
    </w:p>
    <w:p>
      <w:pPr>
        <w:spacing w:before="0" w:after="80"/>
      </w:pPr>
      <w:r>
        <w:t xml:space="preserve"/>
      </w:r>
    </w:p>
    <w:p>
      <w:pPr>
        <w:spacing w:before="0" w:after="120"/>
      </w:pPr>
      <w:r>
        <w:rPr>
          <w:rFonts w:ascii="Arial" w:cs="Arial" w:eastAsia="Arial" w:hAnsi="Arial"/>
          <w:color w:val="475569"/>
          <w:sz w:val="22"/>
          <w:szCs w:val="22"/>
        </w:rPr>
        <w:t xml:space="preserve">One of PageEngine's core design principles is the separation of the platform from the presentation. These are two distinct things that are often confused, so it is worth explaining clearly what each one does.</w:t>
      </w:r>
    </w:p>
    <w:p>
      <w:pPr>
        <w:spacing w:before="0" w:after="160"/>
      </w:pPr>
      <w:r>
        <w:t xml:space="preserve"/>
      </w:r>
    </w:p>
    <w:p>
      <w:pPr>
        <w:pStyle w:val="Heading2"/>
        <w:spacing w:before="360" w:after="120"/>
      </w:pPr>
      <w:r>
        <w:rPr>
          <w:rFonts w:ascii="Arial" w:cs="Arial" w:eastAsia="Arial" w:hAnsi="Arial"/>
          <w:b/>
          <w:bCs/>
          <w:color w:val="0E7490"/>
          <w:sz w:val="26"/>
          <w:szCs w:val="26"/>
        </w:rPr>
        <w:t xml:space="preserve">The Platform — What Happens Behind the Scenes</w:t>
      </w:r>
    </w:p>
    <w:p>
      <w:pPr>
        <w:spacing w:before="0" w:after="120"/>
      </w:pPr>
      <w:r>
        <w:rPr>
          <w:rFonts w:ascii="Arial" w:cs="Arial" w:eastAsia="Arial" w:hAnsi="Arial"/>
          <w:color w:val="475569"/>
          <w:sz w:val="22"/>
          <w:szCs w:val="22"/>
        </w:rPr>
        <w:t xml:space="preserve">The platform is the engine that makes everything work. It has no face of its own. It cannot be seen or touched. What it does is:</w:t>
      </w:r>
    </w:p>
    <w:p>
      <w:pPr>
        <w:spacing w:before="0" w:after="80"/>
      </w:pPr>
      <w:r>
        <w:t xml:space="preserve"/>
      </w:r>
    </w:p>
    <w:p>
      <w:pPr>
        <w:pStyle w:val="ListParagraph"/>
        <w:numPr>
          <w:ilvl w:val="0"/>
          <w:numId w:val="2"/>
        </w:numPr>
        <w:spacing w:before="0" w:after="60"/>
      </w:pPr>
      <w:r>
        <w:rPr>
          <w:rFonts w:ascii="Arial" w:cs="Arial" w:eastAsia="Arial" w:hAnsi="Arial"/>
          <w:color w:val="475569"/>
          <w:sz w:val="22"/>
          <w:szCs w:val="22"/>
        </w:rPr>
        <w:t xml:space="preserve">Reads the structure of an experience — the possible paths, the decision points, the endings</w:t>
      </w:r>
    </w:p>
    <w:p>
      <w:pPr>
        <w:pStyle w:val="ListParagraph"/>
        <w:numPr>
          <w:ilvl w:val="0"/>
          <w:numId w:val="2"/>
        </w:numPr>
        <w:spacing w:before="0" w:after="60"/>
      </w:pPr>
      <w:r>
        <w:rPr>
          <w:rFonts w:ascii="Arial" w:cs="Arial" w:eastAsia="Arial" w:hAnsi="Arial"/>
          <w:color w:val="475569"/>
          <w:sz w:val="22"/>
          <w:szCs w:val="22"/>
        </w:rPr>
        <w:t xml:space="preserve">Tracks which path each participant is on, and what decisions they have made</w:t>
      </w:r>
    </w:p>
    <w:p>
      <w:pPr>
        <w:pStyle w:val="ListParagraph"/>
        <w:numPr>
          <w:ilvl w:val="0"/>
          <w:numId w:val="2"/>
        </w:numPr>
        <w:spacing w:before="0" w:after="60"/>
      </w:pPr>
      <w:r>
        <w:rPr>
          <w:rFonts w:ascii="Arial" w:cs="Arial" w:eastAsia="Arial" w:hAnsi="Arial"/>
          <w:color w:val="475569"/>
          <w:sz w:val="22"/>
          <w:szCs w:val="22"/>
        </w:rPr>
        <w:t xml:space="preserve">Calls the AI to generate the next piece of content, shaped by everything that has happened so far</w:t>
      </w:r>
    </w:p>
    <w:p>
      <w:pPr>
        <w:pStyle w:val="ListParagraph"/>
        <w:numPr>
          <w:ilvl w:val="0"/>
          <w:numId w:val="2"/>
        </w:numPr>
        <w:spacing w:before="0" w:after="60"/>
      </w:pPr>
      <w:r>
        <w:rPr>
          <w:rFonts w:ascii="Arial" w:cs="Arial" w:eastAsia="Arial" w:hAnsi="Arial"/>
          <w:color w:val="475569"/>
          <w:sz w:val="22"/>
          <w:szCs w:val="22"/>
        </w:rPr>
        <w:t xml:space="preserve">Delivers that content instantly, because it began generating it the moment the previous page was read</w:t>
      </w:r>
    </w:p>
    <w:p>
      <w:pPr>
        <w:pStyle w:val="ListParagraph"/>
        <w:numPr>
          <w:ilvl w:val="0"/>
          <w:numId w:val="2"/>
        </w:numPr>
        <w:spacing w:before="0" w:after="60"/>
      </w:pPr>
      <w:r>
        <w:rPr>
          <w:rFonts w:ascii="Arial" w:cs="Arial" w:eastAsia="Arial" w:hAnsi="Arial"/>
          <w:color w:val="475569"/>
          <w:sz w:val="22"/>
          <w:szCs w:val="22"/>
        </w:rPr>
        <w:t xml:space="preserve">Records what happened so that authors and organisations can see how people engaged with the experience</w:t>
      </w:r>
    </w:p>
    <w:p>
      <w:pPr>
        <w:spacing w:before="0" w:after="160"/>
      </w:pPr>
      <w:r>
        <w:t xml:space="preserve"/>
      </w:r>
    </w:p>
    <w:p>
      <w:pPr>
        <w:spacing w:before="0" w:after="120"/>
      </w:pPr>
      <w:r>
        <w:rPr>
          <w:rFonts w:ascii="Arial" w:cs="Arial" w:eastAsia="Arial" w:hAnsi="Arial"/>
          <w:color w:val="475569"/>
          <w:sz w:val="22"/>
          <w:szCs w:val="22"/>
        </w:rPr>
        <w:t xml:space="preserve">The platform does not know or care whether it is generating a ghost story or a workplace safety scenario. It executes the same logic either way. This is intentional — it means adding a new type of experience to the platform does not require rebuilding anything. It requires only a new configuration.</w:t>
      </w:r>
    </w:p>
    <w:p>
      <w:pPr>
        <w:spacing w:before="0" w:after="160"/>
      </w:pPr>
      <w:r>
        <w:t xml:space="preserve"/>
      </w:r>
    </w:p>
    <w:p>
      <w:pPr>
        <w:pStyle w:val="Heading2"/>
        <w:spacing w:before="360" w:after="120"/>
      </w:pPr>
      <w:r>
        <w:rPr>
          <w:rFonts w:ascii="Arial" w:cs="Arial" w:eastAsia="Arial" w:hAnsi="Arial"/>
          <w:b/>
          <w:bCs/>
          <w:color w:val="0E7490"/>
          <w:sz w:val="26"/>
          <w:szCs w:val="26"/>
        </w:rPr>
        <w:t xml:space="preserve">The Presentation Layer — What People Actually See</w:t>
      </w:r>
    </w:p>
    <w:p>
      <w:pPr>
        <w:spacing w:before="0" w:after="120"/>
      </w:pPr>
      <w:r>
        <w:rPr>
          <w:rFonts w:ascii="Arial" w:cs="Arial" w:eastAsia="Arial" w:hAnsi="Arial"/>
          <w:color w:val="475569"/>
          <w:sz w:val="22"/>
          <w:szCs w:val="22"/>
        </w:rPr>
        <w:t xml:space="preserve">The presentation layer is everything the participant sees and touches. It is built on top of the platform and can look entirely different depending on the product or client.</w:t>
      </w:r>
    </w:p>
    <w:p>
      <w:pPr>
        <w:spacing w:before="0" w:after="80"/>
      </w:pPr>
      <w:r>
        <w:t xml:space="preserve"/>
      </w:r>
    </w:p>
    <w:p>
      <w:pPr>
        <w:pStyle w:val="ListParagraph"/>
        <w:numPr>
          <w:ilvl w:val="0"/>
          <w:numId w:val="2"/>
        </w:numPr>
        <w:spacing w:before="0" w:after="60"/>
      </w:pPr>
      <w:r>
        <w:rPr>
          <w:rFonts w:ascii="Arial" w:cs="Arial" w:eastAsia="Arial" w:hAnsi="Arial"/>
          <w:color w:val="475569"/>
          <w:sz w:val="22"/>
          <w:szCs w:val="22"/>
        </w:rPr>
        <w:t xml:space="preserve">For Turn To Page, the presentation layer looks like an aged paperback book — cream paper, serif fonts, the nostalgic aesthetic of 1980s adventure fiction.</w:t>
      </w:r>
    </w:p>
    <w:p>
      <w:pPr>
        <w:pStyle w:val="ListParagraph"/>
        <w:numPr>
          <w:ilvl w:val="0"/>
          <w:numId w:val="2"/>
        </w:numPr>
        <w:spacing w:before="0" w:after="60"/>
      </w:pPr>
      <w:r>
        <w:rPr>
          <w:rFonts w:ascii="Arial" w:cs="Arial" w:eastAsia="Arial" w:hAnsi="Arial"/>
          <w:color w:val="475569"/>
          <w:sz w:val="22"/>
          <w:szCs w:val="22"/>
        </w:rPr>
        <w:t xml:space="preserve">For a corporate training client, the presentation layer might be embedded inside their existing learning management system, styled with their brand colours, and accessed by employees on their company laptops.</w:t>
      </w:r>
    </w:p>
    <w:p>
      <w:pPr>
        <w:pStyle w:val="ListParagraph"/>
        <w:numPr>
          <w:ilvl w:val="0"/>
          <w:numId w:val="2"/>
        </w:numPr>
        <w:spacing w:before="0" w:after="60"/>
      </w:pPr>
      <w:r>
        <w:rPr>
          <w:rFonts w:ascii="Arial" w:cs="Arial" w:eastAsia="Arial" w:hAnsi="Arial"/>
          <w:color w:val="475569"/>
          <w:sz w:val="22"/>
          <w:szCs w:val="22"/>
        </w:rPr>
        <w:t xml:space="preserve">For a publisher licensing their fictional world, the presentation layer might be a branded web experience that feels like an extension of their existing product.</w:t>
      </w:r>
    </w:p>
    <w:p>
      <w:pPr>
        <w:spacing w:before="0" w:after="160"/>
      </w:pPr>
      <w:r>
        <w:t xml:space="preserve"/>
      </w:r>
    </w:p>
    <w:p>
      <w:pPr>
        <w:spacing w:before="0" w:after="120"/>
      </w:pPr>
      <w:r>
        <w:rPr>
          <w:rFonts w:ascii="Arial" w:cs="Arial" w:eastAsia="Arial" w:hAnsi="Arial"/>
          <w:color w:val="475569"/>
          <w:sz w:val="22"/>
          <w:szCs w:val="22"/>
        </w:rPr>
        <w:t xml:space="preserve">The platform generates the same quality of content regardless of how it is presented. The presentation layer is a rendering concern — it does not affect the intelligence of the experience.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CFFAFE" w:sz="1"/>
              <w:left w:val="single" w:color="CFFAFE" w:sz="1"/>
              <w:bottom w:val="single" w:color="CFFAFE" w:sz="1"/>
              <w:right w:val="single" w:color="CFFAFE" w:sz="1"/>
            </w:tcBorders>
            <w:shd w:fill="0E7490" w:val="clear"/>
            <w:tcMar>
              <w:top w:type="dxa" w:w="100"/>
              <w:left w:type="dxa" w:w="160"/>
              <w:bottom w:type="dxa" w:w="60"/>
              <w:right w:type="dxa" w:w="160"/>
            </w:tcMar>
          </w:tcPr>
          <w:p>
            <w:r>
              <w:rPr>
                <w:rFonts w:ascii="Arial" w:cs="Arial" w:eastAsia="Arial" w:hAnsi="Arial"/>
                <w:b/>
                <w:bCs/>
                <w:color w:val="FFFFFF"/>
                <w:sz w:val="22"/>
                <w:szCs w:val="22"/>
              </w:rPr>
              <w:t xml:space="preserve">Why This Separation Matters for Business Clients</w:t>
            </w:r>
          </w:p>
        </w:tc>
      </w:tr>
      <w:tr>
        <w:tc>
          <w:tcPr>
            <w:tcBorders>
              <w:top w:val="single" w:color="CFFAFE" w:sz="1"/>
              <w:left w:val="single" w:color="CFFAFE" w:sz="1"/>
              <w:bottom w:val="single" w:color="CFFAFE" w:sz="1"/>
              <w:right w:val="single" w:color="CFFAFE" w:sz="1"/>
            </w:tcBorders>
            <w:shd w:fill="CFFAFE" w:val="clear"/>
            <w:tcMar>
              <w:top w:type="dxa" w:w="60"/>
              <w:left w:type="dxa" w:w="160"/>
              <w:bottom w:type="dxa" w:w="60"/>
              <w:right w:type="dxa" w:w="160"/>
            </w:tcMar>
          </w:tcPr>
          <w:p>
            <w:r>
              <w:rPr>
                <w:rFonts w:ascii="Arial" w:cs="Arial" w:eastAsia="Arial" w:hAnsi="Arial"/>
                <w:color w:val="475569"/>
                <w:sz w:val="21"/>
                <w:szCs w:val="21"/>
              </w:rPr>
              <w:t xml:space="preserve">A business that licenses PageEngine does not need to rebuild the AI or the experience engine. They configure what their experience is about, upload their materials, and the platform does the rest.</w:t>
            </w:r>
          </w:p>
        </w:tc>
      </w:tr>
      <w:tr>
        <w:tc>
          <w:tcPr>
            <w:tcBorders>
              <w:top w:val="single" w:color="CFFAFE" w:sz="1"/>
              <w:left w:val="single" w:color="CFFAFE" w:sz="1"/>
              <w:bottom w:val="single" w:color="CFFAFE" w:sz="1"/>
              <w:right w:val="single" w:color="CFFAFE" w:sz="1"/>
            </w:tcBorders>
            <w:shd w:fill="CFFAFE" w:val="clear"/>
            <w:tcMar>
              <w:top w:type="dxa" w:w="60"/>
              <w:left w:type="dxa" w:w="160"/>
              <w:bottom w:type="dxa" w:w="60"/>
              <w:right w:type="dxa" w:w="160"/>
            </w:tcMar>
          </w:tcPr>
          <w:p>
            <w:r>
              <w:rPr>
                <w:rFonts w:ascii="Arial" w:cs="Arial" w:eastAsia="Arial" w:hAnsi="Arial"/>
                <w:color w:val="475569"/>
                <w:sz w:val="21"/>
                <w:szCs w:val="21"/>
              </w:rPr>
              <w:t xml:space="preserve"/>
            </w:r>
          </w:p>
        </w:tc>
      </w:tr>
      <w:tr>
        <w:tc>
          <w:tcPr>
            <w:tcBorders>
              <w:top w:val="single" w:color="CFFAFE" w:sz="1"/>
              <w:left w:val="single" w:color="CFFAFE" w:sz="1"/>
              <w:bottom w:val="single" w:color="CFFAFE" w:sz="1"/>
              <w:right w:val="single" w:color="CFFAFE" w:sz="1"/>
            </w:tcBorders>
            <w:shd w:fill="CFFAFE" w:val="clear"/>
            <w:tcMar>
              <w:top w:type="dxa" w:w="60"/>
              <w:left w:type="dxa" w:w="160"/>
              <w:bottom w:type="dxa" w:w="60"/>
              <w:right w:type="dxa" w:w="160"/>
            </w:tcMar>
          </w:tcPr>
          <w:p>
            <w:r>
              <w:rPr>
                <w:rFonts w:ascii="Arial" w:cs="Arial" w:eastAsia="Arial" w:hAnsi="Arial"/>
                <w:color w:val="475569"/>
                <w:sz w:val="21"/>
                <w:szCs w:val="21"/>
              </w:rPr>
              <w:t xml:space="preserve">Their learning management system, their intranet, their brand — none of these need to change. PageEngine sits behind them, invisible, generating experiences that feel native to their environment.</w:t>
            </w:r>
          </w:p>
        </w:tc>
      </w:tr>
      <w:tr>
        <w:tc>
          <w:tcPr>
            <w:tcBorders>
              <w:top w:val="single" w:color="CFFAFE" w:sz="1"/>
              <w:left w:val="single" w:color="CFFAFE" w:sz="1"/>
              <w:bottom w:val="single" w:color="CFFAFE" w:sz="1"/>
              <w:right w:val="single" w:color="CFFAFE" w:sz="1"/>
            </w:tcBorders>
            <w:shd w:fill="CFFAFE" w:val="clear"/>
            <w:tcMar>
              <w:top w:type="dxa" w:w="60"/>
              <w:left w:type="dxa" w:w="160"/>
              <w:bottom w:type="dxa" w:w="60"/>
              <w:right w:type="dxa" w:w="160"/>
            </w:tcMar>
          </w:tcPr>
          <w:p>
            <w:r>
              <w:rPr>
                <w:rFonts w:ascii="Arial" w:cs="Arial" w:eastAsia="Arial" w:hAnsi="Arial"/>
                <w:color w:val="475569"/>
                <w:sz w:val="21"/>
                <w:szCs w:val="21"/>
              </w:rPr>
              <w:t xml:space="preserve"/>
            </w:r>
          </w:p>
        </w:tc>
      </w:tr>
      <w:tr>
        <w:tc>
          <w:tcPr>
            <w:tcBorders>
              <w:top w:val="single" w:color="CFFAFE" w:sz="1"/>
              <w:left w:val="single" w:color="CFFAFE" w:sz="1"/>
              <w:bottom w:val="single" w:color="CFFAFE" w:sz="1"/>
              <w:right w:val="single" w:color="CFFAFE" w:sz="1"/>
            </w:tcBorders>
            <w:shd w:fill="CFFAFE" w:val="clear"/>
            <w:tcMar>
              <w:top w:type="dxa" w:w="60"/>
              <w:left w:type="dxa" w:w="160"/>
              <w:bottom w:type="dxa" w:w="60"/>
              <w:right w:type="dxa" w:w="160"/>
            </w:tcMar>
          </w:tcPr>
          <w:p>
            <w:r>
              <w:rPr>
                <w:rFonts w:ascii="Arial" w:cs="Arial" w:eastAsia="Arial" w:hAnsi="Arial"/>
                <w:color w:val="475569"/>
                <w:sz w:val="21"/>
                <w:szCs w:val="21"/>
              </w:rPr>
              <w:t xml:space="preserve">This also means that as the platform improves — better AI, new features, richer analytics — every client benefits automatically without any work on their side.</w:t>
            </w:r>
          </w:p>
        </w:tc>
      </w:tr>
    </w:tbl>
    <w:p>
      <w:pPr>
        <w:spacing w:before="0" w:after="240"/>
      </w:pPr>
      <w:r>
        <w:t xml:space="preserve"/>
      </w:r>
    </w:p>
    <w:p>
      <w:pPr>
        <w:pStyle w:val="Heading1"/>
        <w:spacing w:before="400" w:after="160"/>
      </w:pPr>
      <w:r>
        <w:rPr>
          <w:rFonts w:ascii="Arial" w:cs="Arial" w:eastAsia="Arial" w:hAnsi="Arial"/>
          <w:b/>
          <w:bCs/>
          <w:color w:val="1A2E4A"/>
          <w:sz w:val="36"/>
          <w:szCs w:val="36"/>
        </w:rPr>
        <w:t xml:space="preserve">How an Experience Is Built</w:t>
      </w:r>
    </w:p>
    <w:p>
      <w:pPr>
        <w:pBdr>
          <w:bottom w:val="single" w:color="0E7490" w:sz="4" w:space="1"/>
        </w:pBdr>
        <w:spacing w:before="120" w:after="120"/>
      </w:pPr>
      <w:r>
        <w:t xml:space="preserve"/>
      </w:r>
    </w:p>
    <w:p>
      <w:pPr>
        <w:spacing w:before="0" w:after="80"/>
      </w:pPr>
      <w:r>
        <w:t xml:space="preserve"/>
      </w:r>
    </w:p>
    <w:p>
      <w:pPr>
        <w:spacing w:before="0" w:after="120"/>
      </w:pPr>
      <w:r>
        <w:rPr>
          <w:rFonts w:ascii="Arial" w:cs="Arial" w:eastAsia="Arial" w:hAnsi="Arial"/>
          <w:color w:val="475569"/>
          <w:sz w:val="22"/>
          <w:szCs w:val="22"/>
        </w:rPr>
        <w:t xml:space="preserve">An experience on PageEngine is constructed from three components. Understanding these three components is the key to understanding how the platform works and what makes it different from traditional e-learning or storytelling tools.</w:t>
      </w:r>
    </w:p>
    <w:p>
      <w:pPr>
        <w:spacing w:before="0" w:after="160"/>
      </w:pPr>
      <w:r>
        <w:t xml:space="preserve"/>
      </w:r>
    </w:p>
    <w:p>
      <w:pPr>
        <w:pStyle w:val="Heading2"/>
        <w:spacing w:before="360" w:after="120"/>
      </w:pPr>
      <w:r>
        <w:rPr>
          <w:rFonts w:ascii="Arial" w:cs="Arial" w:eastAsia="Arial" w:hAnsi="Arial"/>
          <w:b/>
          <w:bCs/>
          <w:color w:val="0E7490"/>
          <w:sz w:val="26"/>
          <w:szCs w:val="26"/>
        </w:rPr>
        <w:t xml:space="preserve">1. The Use Case Configuration</w:t>
      </w:r>
    </w:p>
    <w:p>
      <w:pPr>
        <w:spacing w:before="0" w:after="120"/>
      </w:pPr>
      <w:r>
        <w:rPr>
          <w:rFonts w:ascii="Arial" w:cs="Arial" w:eastAsia="Arial" w:hAnsi="Arial"/>
          <w:color w:val="475569"/>
          <w:sz w:val="22"/>
          <w:szCs w:val="22"/>
        </w:rPr>
        <w:t xml:space="preserve">This is the platform's understanding of what kind of experience is being created. PageEngine ships with four pre-built use case types:</w:t>
      </w:r>
    </w:p>
    <w:p>
      <w:pPr>
        <w:spacing w:before="0" w:after="80"/>
      </w:pPr>
      <w:r>
        <w:t xml:space="preserve"/>
      </w:r>
    </w:p>
    <w:p>
      <w:pPr>
        <w:pStyle w:val="ListParagraph"/>
        <w:numPr>
          <w:ilvl w:val="0"/>
          <w:numId w:val="2"/>
        </w:numPr>
        <w:spacing w:before="0" w:after="60"/>
      </w:pPr>
      <w:r>
        <w:rPr>
          <w:rFonts w:ascii="Arial" w:cs="Arial" w:eastAsia="Arial" w:hAnsi="Arial"/>
          <w:b/>
          <w:bCs/>
          <w:color w:val="1A2E4A"/>
          <w:sz w:val="22"/>
          <w:szCs w:val="22"/>
        </w:rPr>
        <w:t xml:space="preserve">Fiction: </w:t>
      </w:r>
      <w:r>
        <w:rPr>
          <w:rFonts w:ascii="Arial" w:cs="Arial" w:eastAsia="Arial" w:hAnsi="Arial"/>
          <w:color w:val="475569"/>
          <w:sz w:val="22"/>
          <w:szCs w:val="22"/>
        </w:rPr>
        <w:t xml:space="preserve">Choose Your Own Adventure Story</w:t>
      </w:r>
    </w:p>
    <w:p>
      <w:pPr>
        <w:pStyle w:val="ListParagraph"/>
        <w:numPr>
          <w:ilvl w:val="0"/>
          <w:numId w:val="2"/>
        </w:numPr>
        <w:spacing w:before="0" w:after="60"/>
      </w:pPr>
      <w:r>
        <w:rPr>
          <w:rFonts w:ascii="Arial" w:cs="Arial" w:eastAsia="Arial" w:hAnsi="Arial"/>
          <w:b/>
          <w:bCs/>
          <w:color w:val="1A2E4A"/>
          <w:sz w:val="22"/>
          <w:szCs w:val="22"/>
        </w:rPr>
        <w:t xml:space="preserve">Training: </w:t>
      </w:r>
      <w:r>
        <w:rPr>
          <w:rFonts w:ascii="Arial" w:cs="Arial" w:eastAsia="Arial" w:hAnsi="Arial"/>
          <w:color w:val="475569"/>
          <w:sz w:val="22"/>
          <w:szCs w:val="22"/>
        </w:rPr>
        <w:t xml:space="preserve">Corporate Learning &amp; Development</w:t>
      </w:r>
    </w:p>
    <w:p>
      <w:pPr>
        <w:pStyle w:val="ListParagraph"/>
        <w:numPr>
          <w:ilvl w:val="0"/>
          <w:numId w:val="2"/>
        </w:numPr>
        <w:spacing w:before="0" w:after="60"/>
      </w:pPr>
      <w:r>
        <w:rPr>
          <w:rFonts w:ascii="Arial" w:cs="Arial" w:eastAsia="Arial" w:hAnsi="Arial"/>
          <w:b/>
          <w:bCs/>
          <w:color w:val="1A2E4A"/>
          <w:sz w:val="22"/>
          <w:szCs w:val="22"/>
        </w:rPr>
        <w:t xml:space="preserve">Education: </w:t>
      </w:r>
      <w:r>
        <w:rPr>
          <w:rFonts w:ascii="Arial" w:cs="Arial" w:eastAsia="Arial" w:hAnsi="Arial"/>
          <w:color w:val="475569"/>
          <w:sz w:val="22"/>
          <w:szCs w:val="22"/>
        </w:rPr>
        <w:t xml:space="preserve">Adult Education</w:t>
      </w:r>
    </w:p>
    <w:p>
      <w:pPr>
        <w:pStyle w:val="ListParagraph"/>
        <w:numPr>
          <w:ilvl w:val="0"/>
          <w:numId w:val="2"/>
        </w:numPr>
        <w:spacing w:before="0" w:after="60"/>
      </w:pPr>
      <w:r>
        <w:rPr>
          <w:rFonts w:ascii="Arial" w:cs="Arial" w:eastAsia="Arial" w:hAnsi="Arial"/>
          <w:b/>
          <w:bCs/>
          <w:color w:val="1A2E4A"/>
          <w:sz w:val="22"/>
          <w:szCs w:val="22"/>
        </w:rPr>
        <w:t xml:space="preserve">Licensing: </w:t>
      </w:r>
      <w:r>
        <w:rPr>
          <w:rFonts w:ascii="Arial" w:cs="Arial" w:eastAsia="Arial" w:hAnsi="Arial"/>
          <w:color w:val="475569"/>
          <w:sz w:val="22"/>
          <w:szCs w:val="22"/>
        </w:rPr>
        <w:t xml:space="preserve">Published IP Extension</w:t>
      </w:r>
    </w:p>
    <w:p>
      <w:pPr>
        <w:spacing w:before="0" w:after="160"/>
      </w:pPr>
      <w:r>
        <w:t xml:space="preserve"/>
      </w:r>
    </w:p>
    <w:p>
      <w:pPr>
        <w:spacing w:before="0" w:after="120"/>
      </w:pPr>
      <w:r>
        <w:rPr>
          <w:rFonts w:ascii="Arial" w:cs="Arial" w:eastAsia="Arial" w:hAnsi="Arial"/>
          <w:color w:val="475569"/>
          <w:sz w:val="22"/>
          <w:szCs w:val="22"/>
        </w:rPr>
        <w:t xml:space="preserve">The use case configuration tells the AI what its role is. For a training scenario, it instructs the AI to write like a scenario facilitator — realistic, grounded, professionally credible, never moralising. For a story, it instructs the AI to write like a literary fiction author — atmospheric, specific, with rhythm and voice.</w:t>
      </w:r>
    </w:p>
    <w:p>
      <w:pPr>
        <w:spacing w:before="0" w:after="80"/>
      </w:pPr>
      <w:r>
        <w:t xml:space="preserve"/>
      </w:r>
    </w:p>
    <w:p>
      <w:pPr>
        <w:spacing w:before="0" w:after="120"/>
      </w:pPr>
      <w:r>
        <w:rPr>
          <w:rFonts w:ascii="Arial" w:cs="Arial" w:eastAsia="Arial" w:hAnsi="Arial"/>
          <w:color w:val="475569"/>
          <w:sz w:val="22"/>
          <w:szCs w:val="22"/>
        </w:rPr>
        <w:t xml:space="preserve">Business clients who want something more specific — pharmaceutical sales training, for example, or emergency response simulation — can work with PageEngine to create a custom use case configuration that extends one of the standard types.</w:t>
      </w:r>
    </w:p>
    <w:p>
      <w:pPr>
        <w:spacing w:before="0" w:after="80"/>
      </w:pPr>
      <w:r>
        <w:t xml:space="preserve"/>
      </w:r>
    </w:p>
    <w:p>
      <w:pPr>
        <w:spacing w:before="0" w:after="120"/>
      </w:pPr>
      <w:r>
        <w:rPr>
          <w:rFonts w:ascii="Arial" w:cs="Arial" w:eastAsia="Arial" w:hAnsi="Arial"/>
          <w:color w:val="475569"/>
          <w:sz w:val="22"/>
          <w:szCs w:val="22"/>
        </w:rPr>
        <w:t xml:space="preserve">The use case configuration is platform-managed. Individual authors do not edit it. It is the foundation that ensures quality and consistency across all experiences of a given type.</w:t>
      </w:r>
    </w:p>
    <w:p>
      <w:pPr>
        <w:spacing w:before="0" w:after="160"/>
      </w:pPr>
      <w:r>
        <w:t xml:space="preserve"/>
      </w:r>
    </w:p>
    <w:p>
      <w:pPr>
        <w:pStyle w:val="Heading2"/>
        <w:spacing w:before="360" w:after="120"/>
      </w:pPr>
      <w:r>
        <w:rPr>
          <w:rFonts w:ascii="Arial" w:cs="Arial" w:eastAsia="Arial" w:hAnsi="Arial"/>
          <w:b/>
          <w:bCs/>
          <w:color w:val="0E7490"/>
          <w:sz w:val="26"/>
          <w:szCs w:val="26"/>
        </w:rPr>
        <w:t xml:space="preserve">2. The Experience Context Pack</w:t>
      </w:r>
    </w:p>
    <w:p>
      <w:pPr>
        <w:spacing w:before="0" w:after="120"/>
      </w:pPr>
      <w:r>
        <w:rPr>
          <w:rFonts w:ascii="Arial" w:cs="Arial" w:eastAsia="Arial" w:hAnsi="Arial"/>
          <w:color w:val="475569"/>
          <w:sz w:val="22"/>
          <w:szCs w:val="22"/>
        </w:rPr>
        <w:t xml:space="preserve">If the use case configuration tells the AI what kind of writer it is, the Experience Context Pack tells it everything it needs to know about this specific experience.</w:t>
      </w:r>
    </w:p>
    <w:p>
      <w:pPr>
        <w:spacing w:before="0" w:after="80"/>
      </w:pPr>
      <w:r>
        <w:t xml:space="preserve"/>
      </w:r>
    </w:p>
    <w:p>
      <w:pPr>
        <w:spacing w:before="0" w:after="120"/>
      </w:pPr>
      <w:r>
        <w:rPr>
          <w:rFonts w:ascii="Arial" w:cs="Arial" w:eastAsia="Arial" w:hAnsi="Arial"/>
          <w:color w:val="475569"/>
          <w:sz w:val="22"/>
          <w:szCs w:val="22"/>
        </w:rPr>
        <w:t xml:space="preserve">Think of it as the briefing document the AI reads before generating any content. It has five components: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1A2E4A" w:sz="1"/>
              <w:left w:val="single" w:color="1A2E4A" w:sz="1"/>
              <w:bottom w:val="single" w:color="1A2E4A" w:sz="1"/>
              <w:right w:val="single" w:color="1A2E4A" w:sz="1"/>
            </w:tcBorders>
            <w:shd w:fill="1A2E4A" w:val="clear"/>
            <w:tcMar>
              <w:top w:type="dxa" w:w="80"/>
              <w:left w:type="dxa" w:w="140"/>
              <w:bottom w:type="dxa" w:w="80"/>
              <w:right w:type="dxa" w:w="140"/>
            </w:tcMar>
          </w:tcPr>
          <w:p>
            <w:r>
              <w:rPr>
                <w:rFonts w:ascii="Arial" w:cs="Arial" w:eastAsia="Arial" w:hAnsi="Arial"/>
                <w:b/>
                <w:bCs/>
                <w:color w:val="FFFFFF"/>
                <w:sz w:val="21"/>
                <w:szCs w:val="21"/>
              </w:rPr>
              <w:t xml:space="preserve">Component</w:t>
            </w:r>
          </w:p>
        </w:tc>
        <w:tc>
          <w:tcPr>
            <w:tcBorders>
              <w:top w:val="single" w:color="1A2E4A" w:sz="1"/>
              <w:left w:val="single" w:color="1A2E4A" w:sz="1"/>
              <w:bottom w:val="single" w:color="1A2E4A" w:sz="1"/>
              <w:right w:val="single" w:color="1A2E4A" w:sz="1"/>
            </w:tcBorders>
            <w:shd w:fill="1A2E4A" w:val="clear"/>
            <w:tcMar>
              <w:top w:type="dxa" w:w="80"/>
              <w:left w:type="dxa" w:w="140"/>
              <w:bottom w:type="dxa" w:w="80"/>
              <w:right w:type="dxa" w:w="140"/>
            </w:tcMar>
          </w:tcPr>
          <w:p>
            <w:r>
              <w:rPr>
                <w:rFonts w:ascii="Arial" w:cs="Arial" w:eastAsia="Arial" w:hAnsi="Arial"/>
                <w:b/>
                <w:bCs/>
                <w:color w:val="FFFFFF"/>
                <w:sz w:val="21"/>
                <w:szCs w:val="21"/>
              </w:rPr>
              <w:t xml:space="preserve">What it contains</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2E4A"/>
                <w:sz w:val="21"/>
                <w:szCs w:val="21"/>
              </w:rPr>
              <w:t xml:space="preserve">The World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The setting and environment of the experience. For a training scenario: the organisation, its industry, its culture, its geography. For a story: the time period, location, and the rules of that world.</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2E4A"/>
                <w:sz w:val="21"/>
                <w:szCs w:val="21"/>
              </w:rPr>
              <w:t xml:space="preserve">The Actors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The people who appear in the experience. In a training context these are the colleagues, managers, and customers the learner will encounter. Their personalities, how they speak, what they know, and how they relate to the learner are all defined here.</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2E4A"/>
                <w:sz w:val="21"/>
                <w:szCs w:val="21"/>
              </w:rPr>
              <w:t xml:space="preserve">The Protagonist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Who the participant is — their role, what they know at the start, and what they are trying to achieve or understand.</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2E4A"/>
                <w:sz w:val="21"/>
                <w:szCs w:val="21"/>
              </w:rPr>
              <w:t xml:space="preserve">Ground Truth</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The authoritative information the AI must treat as fact and never contradict. This is where an organisation uploads its policy documents, product manuals, compliance guidelines, or knowledge bases. The AI references these when generating content.</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2E4A"/>
                <w:sz w:val="21"/>
                <w:szCs w:val="21"/>
              </w:rPr>
              <w:t xml:space="preserve">Scripts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Conditional behavioural rules. Instructions to the AI about how to handle specific situations — for example: 'if the learner makes a choice that contradicts the disciplinary policy, acknowledge the policy before exploring the consequence.' These give authors precise control over the AI's behaviour without requiring technical expertise.</w:t>
            </w:r>
          </w:p>
        </w:tc>
      </w:tr>
    </w:tbl>
    <w:p>
      <w:pPr>
        <w:spacing w:before="0" w:after="240"/>
      </w:pPr>
      <w:r>
        <w:t xml:space="preserve"/>
      </w:r>
    </w:p>
    <w:p>
      <w:pPr>
        <w:spacing w:before="0" w:after="120"/>
      </w:pPr>
      <w:r>
        <w:rPr>
          <w:rFonts w:ascii="Arial" w:cs="Arial" w:eastAsia="Arial" w:hAnsi="Arial"/>
          <w:color w:val="475569"/>
          <w:sz w:val="22"/>
          <w:szCs w:val="22"/>
        </w:rPr>
        <w:t xml:space="preserve">The Experience Context Pack is the same structure for every use case. Whether an author is building a ghost story or a gas safety training scenario, they fill in the same fields. This consistency is deliberate — it means the platform can process any experience without knowing in advance what kind it is.</w:t>
      </w:r>
    </w:p>
    <w:p>
      <w:pPr>
        <w:spacing w:before="0" w:after="160"/>
      </w:pPr>
      <w:r>
        <w:t xml:space="preserve"/>
      </w:r>
    </w:p>
    <w:p>
      <w:pPr>
        <w:pStyle w:val="Heading2"/>
        <w:spacing w:before="360" w:after="120"/>
      </w:pPr>
      <w:r>
        <w:rPr>
          <w:rFonts w:ascii="Arial" w:cs="Arial" w:eastAsia="Arial" w:hAnsi="Arial"/>
          <w:b/>
          <w:bCs/>
          <w:color w:val="0E7490"/>
          <w:sz w:val="26"/>
          <w:szCs w:val="26"/>
        </w:rPr>
        <w:t xml:space="preserve">3. The Experience Shape</w:t>
      </w:r>
    </w:p>
    <w:p>
      <w:pPr>
        <w:spacing w:before="0" w:after="120"/>
      </w:pPr>
      <w:r>
        <w:rPr>
          <w:rFonts w:ascii="Arial" w:cs="Arial" w:eastAsia="Arial" w:hAnsi="Arial"/>
          <w:color w:val="475569"/>
          <w:sz w:val="22"/>
          <w:szCs w:val="22"/>
        </w:rPr>
        <w:t xml:space="preserve">The shape defines the structure of the branching experience — how many decision points there are, how many possible endings, which choices are the most consequential, and what each ending should feel like.</w:t>
      </w:r>
    </w:p>
    <w:p>
      <w:pPr>
        <w:spacing w:before="0" w:after="80"/>
      </w:pPr>
      <w:r>
        <w:t xml:space="preserve"/>
      </w:r>
    </w:p>
    <w:p>
      <w:pPr>
        <w:spacing w:before="0" w:after="120"/>
      </w:pPr>
      <w:r>
        <w:rPr>
          <w:rFonts w:ascii="Arial" w:cs="Arial" w:eastAsia="Arial" w:hAnsi="Arial"/>
          <w:color w:val="475569"/>
          <w:sz w:val="22"/>
          <w:szCs w:val="22"/>
        </w:rPr>
        <w:t xml:space="preserve">The shape does not contain any of the actual content. It is a blueprint. The AI fills it with content at runtime, shaped by the Context Pack and guided by where the participant is in the journey.</w:t>
      </w:r>
    </w:p>
    <w:p>
      <w:pPr>
        <w:spacing w:before="0" w:after="80"/>
      </w:pPr>
      <w:r>
        <w:t xml:space="preserve"/>
      </w:r>
    </w:p>
    <w:p>
      <w:pPr>
        <w:spacing w:before="0" w:after="120"/>
      </w:pPr>
      <w:r>
        <w:rPr>
          <w:rFonts w:ascii="Arial" w:cs="Arial" w:eastAsia="Arial" w:hAnsi="Arial"/>
          <w:color w:val="475569"/>
          <w:sz w:val="22"/>
          <w:szCs w:val="22"/>
        </w:rPr>
        <w:t xml:space="preserve">A training scenario might have a shape with six decision points, three possible outcomes ranging from 'strong performance' to 'needs development', and two choices along the way that are particularly consequential for the final assessment. The platform knows which choices matter most and adjusts the tone and stakes of the content accordingly.</w:t>
      </w:r>
    </w:p>
    <w:p>
      <w:pPr>
        <w:spacing w:before="0" w:after="240"/>
      </w:pPr>
      <w:r>
        <w:t xml:space="preserve"/>
      </w:r>
    </w:p>
    <w:p>
      <w:r>
        <w:br w:type="page"/>
      </w:r>
    </w:p>
    <w:p>
      <w:pPr>
        <w:pStyle w:val="Heading1"/>
        <w:spacing w:before="400" w:after="160"/>
      </w:pPr>
      <w:r>
        <w:rPr>
          <w:rFonts w:ascii="Arial" w:cs="Arial" w:eastAsia="Arial" w:hAnsi="Arial"/>
          <w:b/>
          <w:bCs/>
          <w:color w:val="1A2E4A"/>
          <w:sz w:val="36"/>
          <w:szCs w:val="36"/>
        </w:rPr>
        <w:t xml:space="preserve">Illustrated Examples: Utilities Sector Training</w:t>
      </w:r>
    </w:p>
    <w:p>
      <w:pPr>
        <w:pBdr>
          <w:bottom w:val="single" w:color="0E7490" w:sz="4" w:space="1"/>
        </w:pBdr>
        <w:spacing w:before="120" w:after="120"/>
      </w:pPr>
      <w:r>
        <w:t xml:space="preserve"/>
      </w:r>
    </w:p>
    <w:p>
      <w:pPr>
        <w:spacing w:before="0" w:after="80"/>
      </w:pPr>
      <w:r>
        <w:t xml:space="preserve"/>
      </w:r>
    </w:p>
    <w:p>
      <w:pPr>
        <w:spacing w:before="0" w:after="120"/>
      </w:pPr>
      <w:r>
        <w:rPr>
          <w:rFonts w:ascii="Arial" w:cs="Arial" w:eastAsia="Arial" w:hAnsi="Arial"/>
          <w:color w:val="475569"/>
          <w:sz w:val="22"/>
          <w:szCs w:val="22"/>
        </w:rPr>
        <w:t xml:space="preserve">The following examples show how PageEngine might be used by a utilities company — a water or energy provider — to deliver training scenarios for frontline staff and managers. These are illustrative scenarios to bring the platform to life.</w:t>
      </w:r>
    </w:p>
    <w:p>
      <w:pPr>
        <w:spacing w:before="0" w:after="80"/>
      </w:pPr>
      <w:r>
        <w:t xml:space="preserve"/>
      </w:r>
    </w:p>
    <w:p>
      <w:pPr>
        <w:spacing w:before="0" w:after="120"/>
      </w:pPr>
      <w:r>
        <w:rPr>
          <w:rFonts w:ascii="Arial" w:cs="Arial" w:eastAsia="Arial" w:hAnsi="Arial"/>
          <w:color w:val="475569"/>
          <w:sz w:val="22"/>
          <w:szCs w:val="22"/>
        </w:rPr>
        <w:t xml:space="preserve">In each case, the participant reads a scene written by the AI, makes a choice, and the story continues — shaped by what they chose, who they are, and the organisation's own policies and guidelines. Each person's journey through the scenario is unique.</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1"/>
              <w:left w:val="single" w:color="0E7490" w:sz="1"/>
              <w:bottom w:val="single" w:color="0E7490" w:sz="1"/>
              <w:right w:val="single" w:color="0E7490" w:sz="1"/>
            </w:tcBorders>
            <w:shd w:fill="0E7490" w:val="clear"/>
            <w:tcMar>
              <w:top w:type="dxa" w:w="80"/>
              <w:left w:type="dxa" w:w="160"/>
              <w:bottom w:type="dxa" w:w="80"/>
              <w:right w:type="dxa" w:w="160"/>
            </w:tcMar>
          </w:tcPr>
          <w:p>
            <w:r>
              <w:rPr>
                <w:rFonts w:ascii="Arial" w:cs="Arial" w:eastAsia="Arial" w:hAnsi="Arial"/>
                <w:b/>
                <w:bCs/>
                <w:color w:val="FFFFFF"/>
                <w:sz w:val="20"/>
                <w:szCs w:val="20"/>
              </w:rPr>
              <w:t xml:space="preserve">SCENARIO 1 — CUSTOMER SERVICES</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60"/>
              <w:right w:type="dxa" w:w="160"/>
            </w:tcMar>
          </w:tcPr>
          <w:p>
            <w:r>
              <w:rPr>
                <w:rFonts w:ascii="Arial" w:cs="Arial" w:eastAsia="Arial" w:hAnsi="Arial"/>
                <w:b/>
                <w:bCs/>
                <w:color w:val="1A2E4A"/>
                <w:sz w:val="24"/>
                <w:szCs w:val="24"/>
              </w:rPr>
              <w:t xml:space="preserve">The Vulnerable Customer</w:t>
            </w:r>
          </w:p>
        </w:tc>
      </w:tr>
      <w:tr>
        <w:tc>
          <w:tcPr>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0E7490"/>
                <w:sz w:val="18"/>
                <w:szCs w:val="18"/>
              </w:rPr>
              <w:t xml:space="preserve">THE SITUATION</w:t>
            </w:r>
          </w:p>
          <w:p>
            <w:r>
              <w:rPr>
                <w:rFonts w:ascii="Arial" w:cs="Arial" w:eastAsia="Arial" w:hAnsi="Arial"/>
                <w:color w:val="475569"/>
                <w:sz w:val="21"/>
                <w:szCs w:val="21"/>
              </w:rPr>
              <w:t xml:space="preserve">You are a customer services advisor for a regional water company. A call comes in from an elderly man who is confused about his bill. As the conversation develops, you realise he may be living alone, showing signs of memory difficulty, and his water has been on a disconnection warning for non-payment. Company policy has a Vulnerable Customer Protocol — but he has not self-identified as vulnerable, and the system does not flag him.</w:t>
            </w:r>
          </w:p>
        </w:tc>
      </w:tr>
      <w:tr>
        <w:tc>
          <w:tcPr>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r>
              <w:rPr>
                <w:rFonts w:ascii="Arial" w:cs="Arial" w:eastAsia="Arial" w:hAnsi="Arial"/>
                <w:b/>
                <w:bCs/>
                <w:color w:val="F59E0B"/>
                <w:sz w:val="18"/>
                <w:szCs w:val="18"/>
              </w:rPr>
              <w:t xml:space="preserve">WHAT DO YOU DO?</w:t>
            </w:r>
          </w:p>
          <w:p>
            <w:r>
              <w:rPr>
                <w:rFonts w:ascii="Arial" w:cs="Arial" w:eastAsia="Arial" w:hAnsi="Arial"/>
                <w:color w:val="475569"/>
                <w:sz w:val="21"/>
                <w:szCs w:val="21"/>
              </w:rPr>
              <w:t xml:space="preserve">A — Follow the standard arrears process. His account is overdue and the protocol requires customer self-identification.</w:t>
            </w:r>
          </w:p>
          <w:p>
            <w:r>
              <w:rPr>
                <w:rFonts w:ascii="Arial" w:cs="Arial" w:eastAsia="Arial" w:hAnsi="Arial"/>
                <w:color w:val="475569"/>
                <w:sz w:val="21"/>
                <w:szCs w:val="21"/>
              </w:rPr>
              <w:t xml:space="preserve">B — Pause the standard process and apply the Vulnerable Customer Protocol based on your own assessment of the situation.</w:t>
            </w:r>
          </w:p>
        </w:tc>
      </w:tr>
      <w:tr>
        <w:tc>
          <w:tcPr>
            <w:tcBorders>
              <w:top w:val="single" w:color="CBD5E1" w:sz="1"/>
              <w:left w:val="single" w:color="CBD5E1" w:sz="1"/>
              <w:bottom w:val="single" w:color="CBD5E1" w:sz="1"/>
              <w:right w:val="single" w:color="CBD5E1" w:sz="1"/>
            </w:tcBorders>
            <w:shd w:fill="D1FAE5" w:val="clear"/>
            <w:tcMar>
              <w:top w:type="dxa" w:w="100"/>
              <w:left w:type="dxa" w:w="160"/>
              <w:bottom w:type="dxa" w:w="100"/>
              <w:right w:type="dxa" w:w="160"/>
            </w:tcMar>
          </w:tcPr>
          <w:p>
            <w:r>
              <w:rPr>
                <w:rFonts w:ascii="Arial" w:cs="Arial" w:eastAsia="Arial" w:hAnsi="Arial"/>
                <w:b/>
                <w:bCs/>
                <w:color w:val="059669"/>
                <w:sz w:val="18"/>
                <w:szCs w:val="18"/>
              </w:rPr>
              <w:t xml:space="preserve">HOW THE PLATFORM LEARNS FROM THIS</w:t>
            </w:r>
          </w:p>
          <w:p>
            <w:r>
              <w:rPr>
                <w:rFonts w:ascii="Arial" w:cs="Arial" w:eastAsia="Arial" w:hAnsi="Arial"/>
                <w:color w:val="475569"/>
                <w:sz w:val="21"/>
                <w:szCs w:val="21"/>
              </w:rPr>
              <w:t xml:space="preserve">Both choices lead to different scenes, consequences, and ultimately different outcomes. The AI knows the company's Vulnerable Customer Policy from the Experience Context Pack — it will reflect policy accurately in the consequences, and the ending will provide a personalised reflection on the learner's approach to discretionary judgment.</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1"/>
              <w:left w:val="single" w:color="0E7490" w:sz="1"/>
              <w:bottom w:val="single" w:color="0E7490" w:sz="1"/>
              <w:right w:val="single" w:color="0E7490" w:sz="1"/>
            </w:tcBorders>
            <w:shd w:fill="0E7490" w:val="clear"/>
            <w:tcMar>
              <w:top w:type="dxa" w:w="80"/>
              <w:left w:type="dxa" w:w="160"/>
              <w:bottom w:type="dxa" w:w="80"/>
              <w:right w:type="dxa" w:w="160"/>
            </w:tcMar>
          </w:tcPr>
          <w:p>
            <w:r>
              <w:rPr>
                <w:rFonts w:ascii="Arial" w:cs="Arial" w:eastAsia="Arial" w:hAnsi="Arial"/>
                <w:b/>
                <w:bCs/>
                <w:color w:val="FFFFFF"/>
                <w:sz w:val="20"/>
                <w:szCs w:val="20"/>
              </w:rPr>
              <w:t xml:space="preserve">SCENARIO 2 — FIELD OPERATIONS</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60"/>
              <w:right w:type="dxa" w:w="160"/>
            </w:tcMar>
          </w:tcPr>
          <w:p>
            <w:r>
              <w:rPr>
                <w:rFonts w:ascii="Arial" w:cs="Arial" w:eastAsia="Arial" w:hAnsi="Arial"/>
                <w:b/>
                <w:bCs/>
                <w:color w:val="1A2E4A"/>
                <w:sz w:val="24"/>
                <w:szCs w:val="24"/>
              </w:rPr>
              <w:t xml:space="preserve">The Pressure Drop</w:t>
            </w:r>
          </w:p>
        </w:tc>
      </w:tr>
      <w:tr>
        <w:tc>
          <w:tcPr>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0E7490"/>
                <w:sz w:val="18"/>
                <w:szCs w:val="18"/>
              </w:rPr>
              <w:t xml:space="preserve">THE SITUATION</w:t>
            </w:r>
          </w:p>
          <w:p>
            <w:r>
              <w:rPr>
                <w:rFonts w:ascii="Arial" w:cs="Arial" w:eastAsia="Arial" w:hAnsi="Arial"/>
                <w:color w:val="475569"/>
                <w:sz w:val="21"/>
                <w:szCs w:val="21"/>
              </w:rPr>
              <w:t xml:space="preserve">You are a network technician responding to a reported pressure drop in a residential area. When you arrive, a local business owner meets you at the street — they have been without water for two hours, have a function starting in three hours, and are visibly stressed. A quick fix is possible but carries a small risk of a larger failure later in the day. The correct procedure takes four hours but is certain.</w:t>
            </w:r>
          </w:p>
        </w:tc>
      </w:tr>
      <w:tr>
        <w:tc>
          <w:tcPr>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r>
              <w:rPr>
                <w:rFonts w:ascii="Arial" w:cs="Arial" w:eastAsia="Arial" w:hAnsi="Arial"/>
                <w:b/>
                <w:bCs/>
                <w:color w:val="F59E0B"/>
                <w:sz w:val="18"/>
                <w:szCs w:val="18"/>
              </w:rPr>
              <w:t xml:space="preserve">WHAT DO YOU DO?</w:t>
            </w:r>
          </w:p>
          <w:p>
            <w:r>
              <w:rPr>
                <w:rFonts w:ascii="Arial" w:cs="Arial" w:eastAsia="Arial" w:hAnsi="Arial"/>
                <w:color w:val="475569"/>
                <w:sz w:val="21"/>
                <w:szCs w:val="21"/>
              </w:rPr>
              <w:t xml:space="preserve">A — Apply the quick fix. The risk is low and the business impact is real.</w:t>
            </w:r>
          </w:p>
          <w:p>
            <w:r>
              <w:rPr>
                <w:rFonts w:ascii="Arial" w:cs="Arial" w:eastAsia="Arial" w:hAnsi="Arial"/>
                <w:color w:val="475569"/>
                <w:sz w:val="21"/>
                <w:szCs w:val="21"/>
              </w:rPr>
              <w:t xml:space="preserve">B — Follow the full procedure. Brief the business owner honestly on the timeline.</w:t>
            </w:r>
          </w:p>
        </w:tc>
      </w:tr>
      <w:tr>
        <w:tc>
          <w:tcPr>
            <w:tcBorders>
              <w:top w:val="single" w:color="CBD5E1" w:sz="1"/>
              <w:left w:val="single" w:color="CBD5E1" w:sz="1"/>
              <w:bottom w:val="single" w:color="CBD5E1" w:sz="1"/>
              <w:right w:val="single" w:color="CBD5E1" w:sz="1"/>
            </w:tcBorders>
            <w:shd w:fill="D1FAE5" w:val="clear"/>
            <w:tcMar>
              <w:top w:type="dxa" w:w="100"/>
              <w:left w:type="dxa" w:w="160"/>
              <w:bottom w:type="dxa" w:w="100"/>
              <w:right w:type="dxa" w:w="160"/>
            </w:tcMar>
          </w:tcPr>
          <w:p>
            <w:r>
              <w:rPr>
                <w:rFonts w:ascii="Arial" w:cs="Arial" w:eastAsia="Arial" w:hAnsi="Arial"/>
                <w:b/>
                <w:bCs/>
                <w:color w:val="059669"/>
                <w:sz w:val="18"/>
                <w:szCs w:val="18"/>
              </w:rPr>
              <w:t xml:space="preserve">HOW THE PLATFORM LEARNS FROM THIS</w:t>
            </w:r>
          </w:p>
          <w:p>
            <w:r>
              <w:rPr>
                <w:rFonts w:ascii="Arial" w:cs="Arial" w:eastAsia="Arial" w:hAnsi="Arial"/>
                <w:color w:val="475569"/>
                <w:sz w:val="21"/>
                <w:szCs w:val="21"/>
              </w:rPr>
              <w:t xml:space="preserve">The platform tracks this choice as one of the scenario's load-bearing decisions — one that will shape the ending the learner reaches. Later in the scenario, if a subsequent failure occurs, it will connect explicitly to this earlier decision.</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1"/>
              <w:left w:val="single" w:color="0E7490" w:sz="1"/>
              <w:bottom w:val="single" w:color="0E7490" w:sz="1"/>
              <w:right w:val="single" w:color="0E7490" w:sz="1"/>
            </w:tcBorders>
            <w:shd w:fill="0E7490" w:val="clear"/>
            <w:tcMar>
              <w:top w:type="dxa" w:w="80"/>
              <w:left w:type="dxa" w:w="160"/>
              <w:bottom w:type="dxa" w:w="80"/>
              <w:right w:type="dxa" w:w="160"/>
            </w:tcMar>
          </w:tcPr>
          <w:p>
            <w:r>
              <w:rPr>
                <w:rFonts w:ascii="Arial" w:cs="Arial" w:eastAsia="Arial" w:hAnsi="Arial"/>
                <w:b/>
                <w:bCs/>
                <w:color w:val="FFFFFF"/>
                <w:sz w:val="20"/>
                <w:szCs w:val="20"/>
              </w:rPr>
              <w:t xml:space="preserve">SCENARIO 3 — PEOPLE MANAGEMENT</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60"/>
              <w:right w:type="dxa" w:w="160"/>
            </w:tcMar>
          </w:tcPr>
          <w:p>
            <w:r>
              <w:rPr>
                <w:rFonts w:ascii="Arial" w:cs="Arial" w:eastAsia="Arial" w:hAnsi="Arial"/>
                <w:b/>
                <w:bCs/>
                <w:color w:val="1A2E4A"/>
                <w:sz w:val="24"/>
                <w:szCs w:val="24"/>
              </w:rPr>
              <w:t xml:space="preserve">The Performance Conversation</w:t>
            </w:r>
          </w:p>
        </w:tc>
      </w:tr>
      <w:tr>
        <w:tc>
          <w:tcPr>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0E7490"/>
                <w:sz w:val="18"/>
                <w:szCs w:val="18"/>
              </w:rPr>
              <w:t xml:space="preserve">THE SITUATION</w:t>
            </w:r>
          </w:p>
          <w:p>
            <w:r>
              <w:rPr>
                <w:rFonts w:ascii="Arial" w:cs="Arial" w:eastAsia="Arial" w:hAnsi="Arial"/>
                <w:color w:val="475569"/>
                <w:sz w:val="21"/>
                <w:szCs w:val="21"/>
              </w:rPr>
              <w:t xml:space="preserve">You are a team leader at a water treatment facility. One of your most experienced operators, Sarah, has been making small errors over the past six weeks — nothing critical, but a pattern you cannot ignore. She has 18 years with the company. In a quiet moment, she mentions she is 'going through some things at home'. You have a performance review scheduled for next week.</w:t>
            </w:r>
          </w:p>
        </w:tc>
      </w:tr>
      <w:tr>
        <w:tc>
          <w:tcPr>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r>
              <w:rPr>
                <w:rFonts w:ascii="Arial" w:cs="Arial" w:eastAsia="Arial" w:hAnsi="Arial"/>
                <w:b/>
                <w:bCs/>
                <w:color w:val="F59E0B"/>
                <w:sz w:val="18"/>
                <w:szCs w:val="18"/>
              </w:rPr>
              <w:t xml:space="preserve">WHAT DO YOU DO?</w:t>
            </w:r>
          </w:p>
          <w:p>
            <w:r>
              <w:rPr>
                <w:rFonts w:ascii="Arial" w:cs="Arial" w:eastAsia="Arial" w:hAnsi="Arial"/>
                <w:color w:val="475569"/>
                <w:sz w:val="21"/>
                <w:szCs w:val="21"/>
              </w:rPr>
              <w:t xml:space="preserve">A — Keep the formal review as scheduled. Her performance record needs to be documented and the process followed.</w:t>
            </w:r>
          </w:p>
          <w:p>
            <w:r>
              <w:rPr>
                <w:rFonts w:ascii="Arial" w:cs="Arial" w:eastAsia="Arial" w:hAnsi="Arial"/>
                <w:color w:val="475569"/>
                <w:sz w:val="21"/>
                <w:szCs w:val="21"/>
              </w:rPr>
              <w:t xml:space="preserve">B — Have an informal conversation now about what is happening for her, and revisit the formal process timing.</w:t>
            </w:r>
          </w:p>
        </w:tc>
      </w:tr>
      <w:tr>
        <w:tc>
          <w:tcPr>
            <w:tcBorders>
              <w:top w:val="single" w:color="CBD5E1" w:sz="1"/>
              <w:left w:val="single" w:color="CBD5E1" w:sz="1"/>
              <w:bottom w:val="single" w:color="CBD5E1" w:sz="1"/>
              <w:right w:val="single" w:color="CBD5E1" w:sz="1"/>
            </w:tcBorders>
            <w:shd w:fill="D1FAE5" w:val="clear"/>
            <w:tcMar>
              <w:top w:type="dxa" w:w="100"/>
              <w:left w:type="dxa" w:w="160"/>
              <w:bottom w:type="dxa" w:w="100"/>
              <w:right w:type="dxa" w:w="160"/>
            </w:tcMar>
          </w:tcPr>
          <w:p>
            <w:r>
              <w:rPr>
                <w:rFonts w:ascii="Arial" w:cs="Arial" w:eastAsia="Arial" w:hAnsi="Arial"/>
                <w:b/>
                <w:bCs/>
                <w:color w:val="059669"/>
                <w:sz w:val="18"/>
                <w:szCs w:val="18"/>
              </w:rPr>
              <w:t xml:space="preserve">HOW THE PLATFORM LEARNS FROM THIS</w:t>
            </w:r>
          </w:p>
          <w:p>
            <w:r>
              <w:rPr>
                <w:rFonts w:ascii="Arial" w:cs="Arial" w:eastAsia="Arial" w:hAnsi="Arial"/>
                <w:color w:val="475569"/>
                <w:sz w:val="21"/>
                <w:szCs w:val="21"/>
              </w:rPr>
              <w:t xml:space="preserve">The scenario is built with the company's HR policy and performance management framework loaded into the Experience Context Pack. Whatever choice the learner makes, the AI will reflect the actual policy — not a generic version of it. The outcome will show the real-world consequences of both approaches within this organisation's specific culture and rules.</w:t>
            </w:r>
          </w:p>
        </w:tc>
      </w:tr>
    </w:tbl>
    <w:p>
      <w:pPr>
        <w:spacing w:before="0" w:after="240"/>
      </w:pPr>
      <w:r>
        <w:t xml:space="preserve"/>
      </w:r>
    </w:p>
    <w:p>
      <w:r>
        <w:br w:type="page"/>
      </w:r>
    </w:p>
    <w:p>
      <w:pPr>
        <w:pStyle w:val="Heading1"/>
        <w:spacing w:before="400" w:after="160"/>
      </w:pPr>
      <w:r>
        <w:rPr>
          <w:rFonts w:ascii="Arial" w:cs="Arial" w:eastAsia="Arial" w:hAnsi="Arial"/>
          <w:b/>
          <w:bCs/>
          <w:color w:val="1A2E4A"/>
          <w:sz w:val="36"/>
          <w:szCs w:val="36"/>
        </w:rPr>
        <w:t xml:space="preserve">The Building Blocks: Node Types</w:t>
      </w:r>
    </w:p>
    <w:p>
      <w:pPr>
        <w:pBdr>
          <w:bottom w:val="single" w:color="0E7490" w:sz="4" w:space="1"/>
        </w:pBdr>
        <w:spacing w:before="120" w:after="120"/>
      </w:pPr>
      <w:r>
        <w:t xml:space="preserve"/>
      </w:r>
    </w:p>
    <w:p>
      <w:pPr>
        <w:spacing w:before="0" w:after="80"/>
      </w:pPr>
      <w:r>
        <w:t xml:space="preserve"/>
      </w:r>
    </w:p>
    <w:p>
      <w:pPr>
        <w:spacing w:before="0" w:after="120"/>
      </w:pPr>
      <w:r>
        <w:rPr>
          <w:rFonts w:ascii="Arial" w:cs="Arial" w:eastAsia="Arial" w:hAnsi="Arial"/>
          <w:color w:val="475569"/>
          <w:sz w:val="22"/>
          <w:szCs w:val="22"/>
        </w:rPr>
        <w:t xml:space="preserve">Every PageEngine experience is assembled from a set of building blocks called nodes. Each node is a distinct moment in the experience — a scene, a decision point, a conversation, an assessment, a milestone, or an ending. Authors connect nodes together to form the branching structure of an experience.</w:t>
      </w:r>
    </w:p>
    <w:p>
      <w:pPr>
        <w:spacing w:before="0" w:after="80"/>
      </w:pPr>
      <w:r>
        <w:t xml:space="preserve"/>
      </w:r>
    </w:p>
    <w:p>
      <w:pPr>
        <w:spacing w:before="0" w:after="120"/>
      </w:pPr>
      <w:r>
        <w:rPr>
          <w:rFonts w:ascii="Arial" w:cs="Arial" w:eastAsia="Arial" w:hAnsi="Arial"/>
          <w:color w:val="475569"/>
          <w:sz w:val="22"/>
          <w:szCs w:val="22"/>
        </w:rPr>
        <w:t xml:space="preserve">There are seven node types. Five are available in all experiences from the outset. Two — Dialogue and Evaluative — are specifically designed for training and education contexts and unlock more sophisticated assessment capability.</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Borders>
              <w:top w:val="single" w:color="1A2E4A" w:sz="1"/>
              <w:left w:val="single" w:color="1A2E4A" w:sz="1"/>
              <w:bottom w:val="single" w:color="1A2E4A" w:sz="1"/>
              <w:right w:val="single" w:color="1A2E4A" w:sz="1"/>
            </w:tcBorders>
            <w:shd w:fill="1A2E4A" w:val="clear"/>
            <w:tcMar>
              <w:top w:type="dxa" w:w="80"/>
              <w:left w:type="dxa" w:w="140"/>
              <w:bottom w:type="dxa" w:w="80"/>
              <w:right w:type="dxa" w:w="140"/>
            </w:tcMar>
          </w:tcPr>
          <w:p>
            <w:r>
              <w:rPr>
                <w:rFonts w:ascii="Arial" w:cs="Arial" w:eastAsia="Arial" w:hAnsi="Arial"/>
                <w:b/>
                <w:bCs/>
                <w:color w:val="FFFFFF"/>
                <w:sz w:val="21"/>
                <w:szCs w:val="21"/>
              </w:rPr>
              <w:t xml:space="preserve">Node Type</w:t>
            </w:r>
          </w:p>
        </w:tc>
        <w:tc>
          <w:tcPr>
            <w:tcBorders>
              <w:top w:val="single" w:color="1A2E4A" w:sz="1"/>
              <w:left w:val="single" w:color="1A2E4A" w:sz="1"/>
              <w:bottom w:val="single" w:color="1A2E4A" w:sz="1"/>
              <w:right w:val="single" w:color="1A2E4A" w:sz="1"/>
            </w:tcBorders>
            <w:shd w:fill="1A2E4A" w:val="clear"/>
            <w:tcMar>
              <w:top w:type="dxa" w:w="80"/>
              <w:left w:type="dxa" w:w="140"/>
              <w:bottom w:type="dxa" w:w="80"/>
              <w:right w:type="dxa" w:w="140"/>
            </w:tcMar>
          </w:tcPr>
          <w:p>
            <w:r>
              <w:rPr>
                <w:rFonts w:ascii="Arial" w:cs="Arial" w:eastAsia="Arial" w:hAnsi="Arial"/>
                <w:b/>
                <w:bCs/>
                <w:color w:val="FFFFFF"/>
                <w:sz w:val="21"/>
                <w:szCs w:val="21"/>
              </w:rPr>
              <w:t xml:space="preserve">What It Is</w:t>
            </w:r>
          </w:p>
        </w:tc>
        <w:tc>
          <w:tcPr>
            <w:tcBorders>
              <w:top w:val="single" w:color="1A2E4A" w:sz="1"/>
              <w:left w:val="single" w:color="1A2E4A" w:sz="1"/>
              <w:bottom w:val="single" w:color="1A2E4A" w:sz="1"/>
              <w:right w:val="single" w:color="1A2E4A" w:sz="1"/>
            </w:tcBorders>
            <w:shd w:fill="1A2E4A" w:val="clear"/>
            <w:tcMar>
              <w:top w:type="dxa" w:w="80"/>
              <w:left w:type="dxa" w:w="140"/>
              <w:bottom w:type="dxa" w:w="80"/>
              <w:right w:type="dxa" w:w="140"/>
            </w:tcMar>
          </w:tcPr>
          <w:p>
            <w:r>
              <w:rPr>
                <w:rFonts w:ascii="Arial" w:cs="Arial" w:eastAsia="Arial" w:hAnsi="Arial"/>
                <w:b/>
                <w:bCs/>
                <w:color w:val="FFFFFF"/>
                <w:sz w:val="21"/>
                <w:szCs w:val="21"/>
              </w:rPr>
              <w:t xml:space="preserve">What It Does</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2E4A"/>
                <w:sz w:val="21"/>
                <w:szCs w:val="21"/>
              </w:rPr>
              <w:t xml:space="preserve">Fixed</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i/>
                <w:iCs/>
                <w:color w:val="0E7490"/>
                <w:sz w:val="21"/>
                <w:szCs w:val="21"/>
              </w:rPr>
              <w:t xml:space="preserve">Static content</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475569"/>
                <w:sz w:val="21"/>
                <w:szCs w:val="21"/>
              </w:rPr>
              <w:t xml:space="preserve">A scene written by the author, word for word, that every participant reads identically. Used for opening scenes, critical moments, and any content that must be consistent — such as a safety briefing that cannot vary.</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2E4A"/>
                <w:sz w:val="21"/>
                <w:szCs w:val="21"/>
              </w:rPr>
              <w:t xml:space="preserve">Generated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i/>
                <w:iCs/>
                <w:color w:val="0E7490"/>
                <w:sz w:val="21"/>
                <w:szCs w:val="21"/>
              </w:rPr>
              <w:t xml:space="preserve">AI-authored scene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A scene written by the AI at runtime, shaped by the Experience Context Pack, the participant's history, and where they are in the arc of the experience. No two participants read the same generated scene — the prose is personalised to their journey.</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2E4A"/>
                <w:sz w:val="21"/>
                <w:szCs w:val="21"/>
              </w:rPr>
              <w:t xml:space="preserve">Choice</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i/>
                <w:iCs/>
                <w:color w:val="0E7490"/>
                <w:sz w:val="21"/>
                <w:szCs w:val="21"/>
              </w:rPr>
              <w:t xml:space="preserve">Decision point</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475569"/>
                <w:sz w:val="21"/>
                <w:szCs w:val="21"/>
              </w:rPr>
              <w:t xml:space="preserve">The moment the participant decides what to do. Choices can be a menu of defined options or open text, where the participant types their own response in their own words. Either way, the choice shapes every scene that follows.</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2E4A"/>
                <w:sz w:val="21"/>
                <w:szCs w:val="21"/>
              </w:rPr>
              <w:t xml:space="preserve">Checkpoint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i/>
                <w:iCs/>
                <w:color w:val="0E7490"/>
                <w:sz w:val="21"/>
                <w:szCs w:val="21"/>
              </w:rPr>
              <w:t xml:space="preserve">Progress marker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A silent or visible milestone that marks the completion of a section of the experience. Checkpoints can unlock subsequent content, record progress for reporting, or trigger a change in the scenario's direction.</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2E4A"/>
                <w:sz w:val="21"/>
                <w:szCs w:val="21"/>
              </w:rPr>
              <w:t xml:space="preserve">Endpoint</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i/>
                <w:iCs/>
                <w:color w:val="0E7490"/>
                <w:sz w:val="21"/>
                <w:szCs w:val="21"/>
              </w:rPr>
              <w:t xml:space="preserve">Conclusion</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475569"/>
                <w:sz w:val="21"/>
                <w:szCs w:val="21"/>
              </w:rPr>
              <w:t xml:space="preserve">The ending the participant reaches. An experience can have multiple endpoints reached via different paths. Each includes an author-written closing line and an AI-generated personalised reflection on that participant's specific journey.</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2E4A"/>
                <w:sz w:val="21"/>
                <w:szCs w:val="21"/>
              </w:rPr>
              <w:t xml:space="preserve">Dialogue *</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i/>
                <w:iCs/>
                <w:color w:val="0E7490"/>
                <w:sz w:val="21"/>
                <w:szCs w:val="21"/>
              </w:rPr>
              <w:t xml:space="preserve">Conversational simulation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A back-and-forth conversation between the participant and an AI-played character. The participant responds in their own words across multiple exchanges — as they would in a real conversation. The AI maintains character throughout. Used for practising difficult conversations: performance discussions, customer complaints, negotiation.</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2E4A"/>
                <w:sz w:val="21"/>
                <w:szCs w:val="21"/>
              </w:rPr>
              <w:t xml:space="preserve">Evaluative *</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i/>
                <w:iCs/>
                <w:color w:val="0E7490"/>
                <w:sz w:val="21"/>
                <w:szCs w:val="21"/>
              </w:rPr>
              <w:t xml:space="preserve">Assessment layer</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475569"/>
                <w:sz w:val="21"/>
                <w:szCs w:val="21"/>
              </w:rPr>
              <w:t xml:space="preserve">A node that assesses the pattern of decisions the participant has made — not just the last choice, but the accumulation of choices in context. It applies an author-defined rubric and routes the participant toward different content based on the result. Can generate a coaching observation or record a competency score visible to administrators.</w:t>
            </w:r>
          </w:p>
        </w:tc>
      </w:tr>
    </w:tbl>
    <w:p>
      <w:pPr>
        <w:spacing w:before="0" w:after="120"/>
      </w:pPr>
      <w:r>
        <w:t xml:space="preserve"/>
      </w:r>
    </w:p>
    <w:p>
      <w:pPr>
        <w:spacing w:before="0" w:after="120"/>
      </w:pPr>
      <w:r>
        <w:rPr>
          <w:rFonts w:ascii="Arial" w:cs="Arial" w:eastAsia="Arial" w:hAnsi="Arial"/>
          <w:color w:val="475569"/>
          <w:sz w:val="22"/>
          <w:szCs w:val="22"/>
        </w:rPr>
        <w:t xml:space="preserve">* Dialogue and Evaluative nodes are available for training and education experiences.</w:t>
      </w:r>
    </w:p>
    <w:p>
      <w:pPr>
        <w:spacing w:before="0" w:after="200"/>
      </w:pPr>
      <w:r>
        <w:t xml:space="preserve"/>
      </w:r>
    </w:p>
    <w:p>
      <w:pPr>
        <w:pStyle w:val="Heading2"/>
        <w:spacing w:before="360" w:after="120"/>
      </w:pPr>
      <w:r>
        <w:rPr>
          <w:rFonts w:ascii="Arial" w:cs="Arial" w:eastAsia="Arial" w:hAnsi="Arial"/>
          <w:b/>
          <w:bCs/>
          <w:color w:val="0E7490"/>
          <w:sz w:val="26"/>
          <w:szCs w:val="26"/>
        </w:rPr>
        <w:t xml:space="preserve">Dialogue Nodes in Practice: The Difficult Conversation</w:t>
      </w:r>
    </w:p>
    <w:p>
      <w:pPr>
        <w:spacing w:before="0" w:after="120"/>
      </w:pPr>
      <w:r>
        <w:rPr>
          <w:rFonts w:ascii="Arial" w:cs="Arial" w:eastAsia="Arial" w:hAnsi="Arial"/>
          <w:color w:val="475569"/>
          <w:sz w:val="22"/>
          <w:szCs w:val="22"/>
        </w:rPr>
        <w:t xml:space="preserve">The Dialogue node is the most powerful tool in the platform for developing interpersonal competency. Rather than presenting the learner with two or three pre-written options, it places them in a live conversation where they must find their own words.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CFFAFE" w:sz="1"/>
              <w:left w:val="single" w:color="CFFAFE" w:sz="1"/>
              <w:bottom w:val="single" w:color="CFFAFE" w:sz="1"/>
              <w:right w:val="single" w:color="CFFAFE" w:sz="1"/>
            </w:tcBorders>
            <w:shd w:fill="0E7490" w:val="clear"/>
            <w:tcMar>
              <w:top w:type="dxa" w:w="100"/>
              <w:left w:type="dxa" w:w="160"/>
              <w:bottom w:type="dxa" w:w="60"/>
              <w:right w:type="dxa" w:w="160"/>
            </w:tcMar>
          </w:tcPr>
          <w:p>
            <w:r>
              <w:rPr>
                <w:rFonts w:ascii="Arial" w:cs="Arial" w:eastAsia="Arial" w:hAnsi="Arial"/>
                <w:b/>
                <w:bCs/>
                <w:color w:val="FFFFFF"/>
                <w:sz w:val="22"/>
                <w:szCs w:val="22"/>
              </w:rPr>
              <w:t xml:space="preserve">Example: Gas Safety Notification — Utilities Sector</w:t>
            </w:r>
          </w:p>
        </w:tc>
      </w:tr>
      <w:tr>
        <w:tc>
          <w:tcPr>
            <w:tcBorders>
              <w:top w:val="single" w:color="CFFAFE" w:sz="1"/>
              <w:left w:val="single" w:color="CFFAFE" w:sz="1"/>
              <w:bottom w:val="single" w:color="CFFAFE" w:sz="1"/>
              <w:right w:val="single" w:color="CFFAFE" w:sz="1"/>
            </w:tcBorders>
            <w:shd w:fill="CFFAFE" w:val="clear"/>
            <w:tcMar>
              <w:top w:type="dxa" w:w="60"/>
              <w:left w:type="dxa" w:w="160"/>
              <w:bottom w:type="dxa" w:w="60"/>
              <w:right w:type="dxa" w:w="160"/>
            </w:tcMar>
          </w:tcPr>
          <w:p>
            <w:r>
              <w:rPr>
                <w:rFonts w:ascii="Arial" w:cs="Arial" w:eastAsia="Arial" w:hAnsi="Arial"/>
                <w:color w:val="475569"/>
                <w:sz w:val="21"/>
                <w:szCs w:val="21"/>
              </w:rPr>
              <w:t xml:space="preserve">Scenario: A field engineer has discovered an unsafe gas installation at a customer's property. The customer is elderly, lives alone, and the installation must be isolated immediately — meaning no heating or hot water. It is January.</w:t>
            </w:r>
          </w:p>
        </w:tc>
      </w:tr>
      <w:tr>
        <w:tc>
          <w:tcPr>
            <w:tcBorders>
              <w:top w:val="single" w:color="CFFAFE" w:sz="1"/>
              <w:left w:val="single" w:color="CFFAFE" w:sz="1"/>
              <w:bottom w:val="single" w:color="CFFAFE" w:sz="1"/>
              <w:right w:val="single" w:color="CFFAFE" w:sz="1"/>
            </w:tcBorders>
            <w:shd w:fill="CFFAFE" w:val="clear"/>
            <w:tcMar>
              <w:top w:type="dxa" w:w="60"/>
              <w:left w:type="dxa" w:w="160"/>
              <w:bottom w:type="dxa" w:w="60"/>
              <w:right w:type="dxa" w:w="160"/>
            </w:tcMar>
          </w:tcPr>
          <w:p>
            <w:r>
              <w:rPr>
                <w:rFonts w:ascii="Arial" w:cs="Arial" w:eastAsia="Arial" w:hAnsi="Arial"/>
                <w:color w:val="475569"/>
                <w:sz w:val="21"/>
                <w:szCs w:val="21"/>
              </w:rPr>
              <w:t xml:space="preserve"/>
            </w:r>
          </w:p>
        </w:tc>
      </w:tr>
      <w:tr>
        <w:tc>
          <w:tcPr>
            <w:tcBorders>
              <w:top w:val="single" w:color="CFFAFE" w:sz="1"/>
              <w:left w:val="single" w:color="CFFAFE" w:sz="1"/>
              <w:bottom w:val="single" w:color="CFFAFE" w:sz="1"/>
              <w:right w:val="single" w:color="CFFAFE" w:sz="1"/>
            </w:tcBorders>
            <w:shd w:fill="CFFAFE" w:val="clear"/>
            <w:tcMar>
              <w:top w:type="dxa" w:w="60"/>
              <w:left w:type="dxa" w:w="160"/>
              <w:bottom w:type="dxa" w:w="60"/>
              <w:right w:type="dxa" w:w="160"/>
            </w:tcMar>
          </w:tcPr>
          <w:p>
            <w:r>
              <w:rPr>
                <w:rFonts w:ascii="Arial" w:cs="Arial" w:eastAsia="Arial" w:hAnsi="Arial"/>
                <w:color w:val="475569"/>
                <w:sz w:val="21"/>
                <w:szCs w:val="21"/>
              </w:rPr>
              <w:t xml:space="preserve">A Dialogue node places the learner in the conversation with the customer. The AI plays the customer — anxious, resistant, and asking questions the engineer must answer honestly and sensitively.</w:t>
            </w:r>
          </w:p>
        </w:tc>
      </w:tr>
      <w:tr>
        <w:tc>
          <w:tcPr>
            <w:tcBorders>
              <w:top w:val="single" w:color="CFFAFE" w:sz="1"/>
              <w:left w:val="single" w:color="CFFAFE" w:sz="1"/>
              <w:bottom w:val="single" w:color="CFFAFE" w:sz="1"/>
              <w:right w:val="single" w:color="CFFAFE" w:sz="1"/>
            </w:tcBorders>
            <w:shd w:fill="CFFAFE" w:val="clear"/>
            <w:tcMar>
              <w:top w:type="dxa" w:w="60"/>
              <w:left w:type="dxa" w:w="160"/>
              <w:bottom w:type="dxa" w:w="60"/>
              <w:right w:type="dxa" w:w="160"/>
            </w:tcMar>
          </w:tcPr>
          <w:p>
            <w:r>
              <w:rPr>
                <w:rFonts w:ascii="Arial" w:cs="Arial" w:eastAsia="Arial" w:hAnsi="Arial"/>
                <w:color w:val="475569"/>
                <w:sz w:val="21"/>
                <w:szCs w:val="21"/>
              </w:rPr>
              <w:t xml:space="preserve"/>
            </w:r>
          </w:p>
        </w:tc>
      </w:tr>
      <w:tr>
        <w:tc>
          <w:tcPr>
            <w:tcBorders>
              <w:top w:val="single" w:color="CFFAFE" w:sz="1"/>
              <w:left w:val="single" w:color="CFFAFE" w:sz="1"/>
              <w:bottom w:val="single" w:color="CFFAFE" w:sz="1"/>
              <w:right w:val="single" w:color="CFFAFE" w:sz="1"/>
            </w:tcBorders>
            <w:shd w:fill="CFFAFE" w:val="clear"/>
            <w:tcMar>
              <w:top w:type="dxa" w:w="60"/>
              <w:left w:type="dxa" w:w="160"/>
              <w:bottom w:type="dxa" w:w="60"/>
              <w:right w:type="dxa" w:w="160"/>
            </w:tcMar>
          </w:tcPr>
          <w:p>
            <w:r>
              <w:rPr>
                <w:rFonts w:ascii="Arial" w:cs="Arial" w:eastAsia="Arial" w:hAnsi="Arial"/>
                <w:color w:val="475569"/>
                <w:sz w:val="21"/>
                <w:szCs w:val="21"/>
              </w:rPr>
              <w:t xml:space="preserve">The learner types their actual responses. The AI responds in character, remembering what was said earlier in the conversation. The conversation continues until the learner has achieved a defined outcome: the customer understands the situation, has agreed to the isolation, and knows what support is available.</w:t>
            </w:r>
          </w:p>
        </w:tc>
      </w:tr>
      <w:tr>
        <w:tc>
          <w:tcPr>
            <w:tcBorders>
              <w:top w:val="single" w:color="CFFAFE" w:sz="1"/>
              <w:left w:val="single" w:color="CFFAFE" w:sz="1"/>
              <w:bottom w:val="single" w:color="CFFAFE" w:sz="1"/>
              <w:right w:val="single" w:color="CFFAFE" w:sz="1"/>
            </w:tcBorders>
            <w:shd w:fill="CFFAFE" w:val="clear"/>
            <w:tcMar>
              <w:top w:type="dxa" w:w="60"/>
              <w:left w:type="dxa" w:w="160"/>
              <w:bottom w:type="dxa" w:w="60"/>
              <w:right w:type="dxa" w:w="160"/>
            </w:tcMar>
          </w:tcPr>
          <w:p>
            <w:r>
              <w:rPr>
                <w:rFonts w:ascii="Arial" w:cs="Arial" w:eastAsia="Arial" w:hAnsi="Arial"/>
                <w:color w:val="475569"/>
                <w:sz w:val="21"/>
                <w:szCs w:val="21"/>
              </w:rPr>
              <w:t xml:space="preserve"/>
            </w:r>
          </w:p>
        </w:tc>
      </w:tr>
      <w:tr>
        <w:tc>
          <w:tcPr>
            <w:tcBorders>
              <w:top w:val="single" w:color="CFFAFE" w:sz="1"/>
              <w:left w:val="single" w:color="CFFAFE" w:sz="1"/>
              <w:bottom w:val="single" w:color="CFFAFE" w:sz="1"/>
              <w:right w:val="single" w:color="CFFAFE" w:sz="1"/>
            </w:tcBorders>
            <w:shd w:fill="CFFAFE" w:val="clear"/>
            <w:tcMar>
              <w:top w:type="dxa" w:w="60"/>
              <w:left w:type="dxa" w:w="160"/>
              <w:bottom w:type="dxa" w:w="60"/>
              <w:right w:type="dxa" w:w="160"/>
            </w:tcMar>
          </w:tcPr>
          <w:p>
            <w:r>
              <w:rPr>
                <w:rFonts w:ascii="Arial" w:cs="Arial" w:eastAsia="Arial" w:hAnsi="Arial"/>
                <w:color w:val="475569"/>
                <w:sz w:val="21"/>
                <w:szCs w:val="21"/>
              </w:rPr>
              <w:t xml:space="preserve">If the learner struggles — becoming clinical, failing to acknowledge the customer's distress, or unable to explain the process clearly — the conversation does not end. It continues, as a real conversation would. The difficulty is the learning.</w:t>
            </w:r>
          </w:p>
        </w:tc>
      </w:tr>
    </w:tbl>
    <w:p>
      <w:pPr>
        <w:spacing w:before="0" w:after="200"/>
      </w:pPr>
      <w:r>
        <w:t xml:space="preserve"/>
      </w:r>
    </w:p>
    <w:p>
      <w:pPr>
        <w:pStyle w:val="Heading2"/>
        <w:spacing w:before="360" w:after="120"/>
      </w:pPr>
      <w:r>
        <w:rPr>
          <w:rFonts w:ascii="Arial" w:cs="Arial" w:eastAsia="Arial" w:hAnsi="Arial"/>
          <w:b/>
          <w:bCs/>
          <w:color w:val="0E7490"/>
          <w:sz w:val="26"/>
          <w:szCs w:val="26"/>
        </w:rPr>
        <w:t xml:space="preserve">Evaluative Nodes in Practice: Assessment Without a Quiz</w:t>
      </w:r>
    </w:p>
    <w:p>
      <w:pPr>
        <w:spacing w:before="0" w:after="120"/>
      </w:pPr>
      <w:r>
        <w:rPr>
          <w:rFonts w:ascii="Arial" w:cs="Arial" w:eastAsia="Arial" w:hAnsi="Arial"/>
          <w:color w:val="475569"/>
          <w:sz w:val="22"/>
          <w:szCs w:val="22"/>
        </w:rPr>
        <w:t xml:space="preserve">Traditional e-learning assessments are transparent. The learner knows they are being assessed, knows which answer is correct, and learns to select it. The score reflects test-taking skill as much as genuine competency.</w:t>
      </w:r>
    </w:p>
    <w:p>
      <w:pPr>
        <w:spacing w:before="0" w:after="120"/>
      </w:pPr>
      <w:r>
        <w:t xml:space="preserve"/>
      </w:r>
    </w:p>
    <w:p>
      <w:pPr>
        <w:spacing w:before="0" w:after="120"/>
      </w:pPr>
      <w:r>
        <w:rPr>
          <w:rFonts w:ascii="Arial" w:cs="Arial" w:eastAsia="Arial" w:hAnsi="Arial"/>
          <w:color w:val="475569"/>
          <w:sz w:val="22"/>
          <w:szCs w:val="22"/>
        </w:rPr>
        <w:t xml:space="preserve">Evaluative nodes assess differently. They sit invisibly within the flow of the experience and assess not a single answer but a pattern — the accumulation of decisions the learner has made across multiple choice points, in context, under the conditions of the scenario.</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D1FAE5" w:sz="1"/>
              <w:left w:val="single" w:color="D1FAE5" w:sz="1"/>
              <w:bottom w:val="single" w:color="D1FAE5" w:sz="1"/>
              <w:right w:val="single" w:color="D1FAE5" w:sz="1"/>
            </w:tcBorders>
            <w:shd w:fill="059669" w:val="clear"/>
            <w:tcMar>
              <w:top w:type="dxa" w:w="100"/>
              <w:left w:type="dxa" w:w="160"/>
              <w:bottom w:type="dxa" w:w="60"/>
              <w:right w:type="dxa" w:w="160"/>
            </w:tcMar>
          </w:tcPr>
          <w:p>
            <w:r>
              <w:rPr>
                <w:rFonts w:ascii="Arial" w:cs="Arial" w:eastAsia="Arial" w:hAnsi="Arial"/>
                <w:b/>
                <w:bCs/>
                <w:color w:val="FFFFFF"/>
                <w:sz w:val="22"/>
                <w:szCs w:val="22"/>
              </w:rPr>
              <w:t xml:space="preserve">Example: Contractor Management — Utilities Sector</w:t>
            </w:r>
          </w:p>
        </w:tc>
      </w:tr>
      <w:tr>
        <w:tc>
          <w:tcPr>
            <w:tcBorders>
              <w:top w:val="single" w:color="D1FAE5" w:sz="1"/>
              <w:left w:val="single" w:color="D1FAE5" w:sz="1"/>
              <w:bottom w:val="single" w:color="D1FAE5" w:sz="1"/>
              <w:right w:val="single" w:color="D1FAE5" w:sz="1"/>
            </w:tcBorders>
            <w:shd w:fill="D1FAE5" w:val="clear"/>
            <w:tcMar>
              <w:top w:type="dxa" w:w="60"/>
              <w:left w:type="dxa" w:w="160"/>
              <w:bottom w:type="dxa" w:w="60"/>
              <w:right w:type="dxa" w:w="160"/>
            </w:tcMar>
          </w:tcPr>
          <w:p>
            <w:r>
              <w:rPr>
                <w:rFonts w:ascii="Arial" w:cs="Arial" w:eastAsia="Arial" w:hAnsi="Arial"/>
                <w:color w:val="475569"/>
                <w:sz w:val="21"/>
                <w:szCs w:val="21"/>
              </w:rPr>
              <w:t xml:space="preserve">A scenario places a site manager in charge of a planned maintenance project involving external contractors. Across eight decision points, they make choices about briefing, safety checks, oversight, escalation, and communication.</w:t>
            </w:r>
          </w:p>
        </w:tc>
      </w:tr>
      <w:tr>
        <w:tc>
          <w:tcPr>
            <w:tcBorders>
              <w:top w:val="single" w:color="D1FAE5" w:sz="1"/>
              <w:left w:val="single" w:color="D1FAE5" w:sz="1"/>
              <w:bottom w:val="single" w:color="D1FAE5" w:sz="1"/>
              <w:right w:val="single" w:color="D1FAE5" w:sz="1"/>
            </w:tcBorders>
            <w:shd w:fill="D1FAE5" w:val="clear"/>
            <w:tcMar>
              <w:top w:type="dxa" w:w="60"/>
              <w:left w:type="dxa" w:w="160"/>
              <w:bottom w:type="dxa" w:w="60"/>
              <w:right w:type="dxa" w:w="160"/>
            </w:tcMar>
          </w:tcPr>
          <w:p>
            <w:r>
              <w:rPr>
                <w:rFonts w:ascii="Arial" w:cs="Arial" w:eastAsia="Arial" w:hAnsi="Arial"/>
                <w:color w:val="475569"/>
                <w:sz w:val="21"/>
                <w:szCs w:val="21"/>
              </w:rPr>
              <w:t xml:space="preserve"/>
            </w:r>
          </w:p>
        </w:tc>
      </w:tr>
      <w:tr>
        <w:tc>
          <w:tcPr>
            <w:tcBorders>
              <w:top w:val="single" w:color="D1FAE5" w:sz="1"/>
              <w:left w:val="single" w:color="D1FAE5" w:sz="1"/>
              <w:bottom w:val="single" w:color="D1FAE5" w:sz="1"/>
              <w:right w:val="single" w:color="D1FAE5" w:sz="1"/>
            </w:tcBorders>
            <w:shd w:fill="D1FAE5" w:val="clear"/>
            <w:tcMar>
              <w:top w:type="dxa" w:w="60"/>
              <w:left w:type="dxa" w:w="160"/>
              <w:bottom w:type="dxa" w:w="60"/>
              <w:right w:type="dxa" w:w="160"/>
            </w:tcMar>
          </w:tcPr>
          <w:p>
            <w:r>
              <w:rPr>
                <w:rFonts w:ascii="Arial" w:cs="Arial" w:eastAsia="Arial" w:hAnsi="Arial"/>
                <w:color w:val="475569"/>
                <w:sz w:val="21"/>
                <w:szCs w:val="21"/>
              </w:rPr>
              <w:t xml:space="preserve">An Evaluative node placed after the fifth decision point assesses the pattern so far against a competency rubric for contractor management. It does not tell the learner their score. Instead, it routes them into a different version of the next scene — one that reflects the consequences of their management approach to date.</w:t>
            </w:r>
          </w:p>
        </w:tc>
      </w:tr>
      <w:tr>
        <w:tc>
          <w:tcPr>
            <w:tcBorders>
              <w:top w:val="single" w:color="D1FAE5" w:sz="1"/>
              <w:left w:val="single" w:color="D1FAE5" w:sz="1"/>
              <w:bottom w:val="single" w:color="D1FAE5" w:sz="1"/>
              <w:right w:val="single" w:color="D1FAE5" w:sz="1"/>
            </w:tcBorders>
            <w:shd w:fill="D1FAE5" w:val="clear"/>
            <w:tcMar>
              <w:top w:type="dxa" w:w="60"/>
              <w:left w:type="dxa" w:w="160"/>
              <w:bottom w:type="dxa" w:w="60"/>
              <w:right w:type="dxa" w:w="160"/>
            </w:tcMar>
          </w:tcPr>
          <w:p>
            <w:r>
              <w:rPr>
                <w:rFonts w:ascii="Arial" w:cs="Arial" w:eastAsia="Arial" w:hAnsi="Arial"/>
                <w:color w:val="475569"/>
                <w:sz w:val="21"/>
                <w:szCs w:val="21"/>
              </w:rPr>
              <w:t xml:space="preserve"/>
            </w:r>
          </w:p>
        </w:tc>
      </w:tr>
      <w:tr>
        <w:tc>
          <w:tcPr>
            <w:tcBorders>
              <w:top w:val="single" w:color="D1FAE5" w:sz="1"/>
              <w:left w:val="single" w:color="D1FAE5" w:sz="1"/>
              <w:bottom w:val="single" w:color="D1FAE5" w:sz="1"/>
              <w:right w:val="single" w:color="D1FAE5" w:sz="1"/>
            </w:tcBorders>
            <w:shd w:fill="D1FAE5" w:val="clear"/>
            <w:tcMar>
              <w:top w:type="dxa" w:w="60"/>
              <w:left w:type="dxa" w:w="160"/>
              <w:bottom w:type="dxa" w:w="60"/>
              <w:right w:type="dxa" w:w="160"/>
            </w:tcMar>
          </w:tcPr>
          <w:p>
            <w:r>
              <w:rPr>
                <w:rFonts w:ascii="Arial" w:cs="Arial" w:eastAsia="Arial" w:hAnsi="Arial"/>
                <w:color w:val="475569"/>
                <w:sz w:val="21"/>
                <w:szCs w:val="21"/>
              </w:rPr>
              <w:t xml:space="preserve">A learner who has been thorough arrives at a scene where a contractor flags a minor concern that is easily managed. A learner whose oversight has been lighter arrives at the same concern having already escalated. Both scenes are generated by the AI. Neither learner knows they have been assessed.</w:t>
            </w:r>
          </w:p>
        </w:tc>
      </w:tr>
      <w:tr>
        <w:tc>
          <w:tcPr>
            <w:tcBorders>
              <w:top w:val="single" w:color="D1FAE5" w:sz="1"/>
              <w:left w:val="single" w:color="D1FAE5" w:sz="1"/>
              <w:bottom w:val="single" w:color="D1FAE5" w:sz="1"/>
              <w:right w:val="single" w:color="D1FAE5" w:sz="1"/>
            </w:tcBorders>
            <w:shd w:fill="D1FAE5" w:val="clear"/>
            <w:tcMar>
              <w:top w:type="dxa" w:w="60"/>
              <w:left w:type="dxa" w:w="160"/>
              <w:bottom w:type="dxa" w:w="60"/>
              <w:right w:type="dxa" w:w="160"/>
            </w:tcMar>
          </w:tcPr>
          <w:p>
            <w:r>
              <w:rPr>
                <w:rFonts w:ascii="Arial" w:cs="Arial" w:eastAsia="Arial" w:hAnsi="Arial"/>
                <w:color w:val="475569"/>
                <w:sz w:val="21"/>
                <w:szCs w:val="21"/>
              </w:rPr>
              <w:t xml:space="preserve"/>
            </w:r>
          </w:p>
        </w:tc>
      </w:tr>
      <w:tr>
        <w:tc>
          <w:tcPr>
            <w:tcBorders>
              <w:top w:val="single" w:color="D1FAE5" w:sz="1"/>
              <w:left w:val="single" w:color="D1FAE5" w:sz="1"/>
              <w:bottom w:val="single" w:color="D1FAE5" w:sz="1"/>
              <w:right w:val="single" w:color="D1FAE5" w:sz="1"/>
            </w:tcBorders>
            <w:shd w:fill="D1FAE5" w:val="clear"/>
            <w:tcMar>
              <w:top w:type="dxa" w:w="60"/>
              <w:left w:type="dxa" w:w="160"/>
              <w:bottom w:type="dxa" w:w="60"/>
              <w:right w:type="dxa" w:w="160"/>
            </w:tcMar>
          </w:tcPr>
          <w:p>
            <w:r>
              <w:rPr>
                <w:rFonts w:ascii="Arial" w:cs="Arial" w:eastAsia="Arial" w:hAnsi="Arial"/>
                <w:color w:val="475569"/>
                <w:sz w:val="21"/>
                <w:szCs w:val="21"/>
              </w:rPr>
              <w:t xml:space="preserve">At the endpoint, the Evaluative node's findings contribute to a competency profile visible to the learner's manager — not as a pass/fail mark, but as a nuanced picture of how they approach contractor management when they believe they are simply doing their job.</w:t>
            </w:r>
          </w:p>
        </w:tc>
      </w:tr>
    </w:tbl>
    <w:p>
      <w:pPr>
        <w:spacing w:before="0" w:after="240"/>
      </w:pPr>
      <w:r>
        <w:t xml:space="preserve"/>
      </w:r>
    </w:p>
    <w:p>
      <w:r>
        <w:br w:type="page"/>
      </w:r>
    </w:p>
    <w:p>
      <w:pPr>
        <w:pStyle w:val="Heading1"/>
        <w:spacing w:before="400" w:after="160"/>
      </w:pPr>
      <w:r>
        <w:rPr>
          <w:rFonts w:ascii="Arial" w:cs="Arial" w:eastAsia="Arial" w:hAnsi="Arial"/>
          <w:b/>
          <w:bCs/>
          <w:color w:val="1A2E4A"/>
          <w:sz w:val="36"/>
          <w:szCs w:val="36"/>
        </w:rPr>
        <w:t xml:space="preserve">What Happens in Real Time</w:t>
      </w:r>
    </w:p>
    <w:p>
      <w:pPr>
        <w:pBdr>
          <w:bottom w:val="single" w:color="0E7490" w:sz="4" w:space="1"/>
        </w:pBdr>
        <w:spacing w:before="120" w:after="120"/>
      </w:pPr>
      <w:r>
        <w:t xml:space="preserve"/>
      </w:r>
    </w:p>
    <w:p>
      <w:pPr>
        <w:spacing w:before="0" w:after="80"/>
      </w:pPr>
      <w:r>
        <w:t xml:space="preserve"/>
      </w:r>
    </w:p>
    <w:p>
      <w:pPr>
        <w:spacing w:before="0" w:after="120"/>
      </w:pPr>
      <w:r>
        <w:rPr>
          <w:rFonts w:ascii="Arial" w:cs="Arial" w:eastAsia="Arial" w:hAnsi="Arial"/>
          <w:color w:val="475569"/>
          <w:sz w:val="22"/>
          <w:szCs w:val="22"/>
        </w:rPr>
        <w:t xml:space="preserve">When a participant begins a PageEngine experience, several things happen simultaneously that are worth understanding — because they are what make the experience feel responsive and natural rather than pre-recorded.</w:t>
      </w:r>
    </w:p>
    <w:p>
      <w:pPr>
        <w:spacing w:before="0" w:after="160"/>
      </w:pPr>
      <w:r>
        <w:t xml:space="preserve"/>
      </w:r>
    </w:p>
    <w:p>
      <w:pPr>
        <w:pStyle w:val="Heading2"/>
        <w:spacing w:before="360" w:after="120"/>
      </w:pPr>
      <w:r>
        <w:rPr>
          <w:rFonts w:ascii="Arial" w:cs="Arial" w:eastAsia="Arial" w:hAnsi="Arial"/>
          <w:b/>
          <w:bCs/>
          <w:color w:val="0E7490"/>
          <w:sz w:val="26"/>
          <w:szCs w:val="26"/>
        </w:rPr>
        <w:t xml:space="preserve">Generation Before It Is Needed</w:t>
      </w:r>
    </w:p>
    <w:p>
      <w:pPr>
        <w:spacing w:before="0" w:after="120"/>
      </w:pPr>
      <w:r>
        <w:rPr>
          <w:rFonts w:ascii="Arial" w:cs="Arial" w:eastAsia="Arial" w:hAnsi="Arial"/>
          <w:color w:val="475569"/>
          <w:sz w:val="22"/>
          <w:szCs w:val="22"/>
        </w:rPr>
        <w:t xml:space="preserve">The moment a participant reads a scene, the platform begins generating every possible next scene in parallel — all the scenes that could follow depending on what choice the participant makes. By the time they have finished reading and made their decision, the next scene is already written and waiting.</w:t>
      </w:r>
    </w:p>
    <w:p>
      <w:pPr>
        <w:spacing w:before="0" w:after="80"/>
      </w:pPr>
      <w:r>
        <w:t xml:space="preserve"/>
      </w:r>
    </w:p>
    <w:p>
      <w:pPr>
        <w:spacing w:before="0" w:after="120"/>
      </w:pPr>
      <w:r>
        <w:rPr>
          <w:rFonts w:ascii="Arial" w:cs="Arial" w:eastAsia="Arial" w:hAnsi="Arial"/>
          <w:color w:val="475569"/>
          <w:sz w:val="22"/>
          <w:szCs w:val="22"/>
        </w:rPr>
        <w:t xml:space="preserve">This is why transitions feel instant. Nothing is generated on demand when a choice is made. It was generated while the participant was reading the previous page.</w:t>
      </w:r>
    </w:p>
    <w:p>
      <w:pPr>
        <w:spacing w:before="0" w:after="160"/>
      </w:pPr>
      <w:r>
        <w:t xml:space="preserve"/>
      </w:r>
    </w:p>
    <w:p>
      <w:pPr>
        <w:pStyle w:val="Heading2"/>
        <w:spacing w:before="360" w:after="120"/>
      </w:pPr>
      <w:r>
        <w:rPr>
          <w:rFonts w:ascii="Arial" w:cs="Arial" w:eastAsia="Arial" w:hAnsi="Arial"/>
          <w:b/>
          <w:bCs/>
          <w:color w:val="0E7490"/>
          <w:sz w:val="26"/>
          <w:szCs w:val="26"/>
        </w:rPr>
        <w:t xml:space="preserve">Continuity Across the Entire Journey</w:t>
      </w:r>
    </w:p>
    <w:p>
      <w:pPr>
        <w:spacing w:before="0" w:after="120"/>
      </w:pPr>
      <w:r>
        <w:rPr>
          <w:rFonts w:ascii="Arial" w:cs="Arial" w:eastAsia="Arial" w:hAnsi="Arial"/>
          <w:color w:val="475569"/>
          <w:sz w:val="22"/>
          <w:szCs w:val="22"/>
        </w:rPr>
        <w:t xml:space="preserve">Each scene is generated with full knowledge of everything that has happened before it. The AI reads the complete history of the participant's journey — every scene they have read, every choice they have made — before writing the next one.</w:t>
      </w:r>
    </w:p>
    <w:p>
      <w:pPr>
        <w:spacing w:before="0" w:after="80"/>
      </w:pPr>
      <w:r>
        <w:t xml:space="preserve"/>
      </w:r>
    </w:p>
    <w:p>
      <w:pPr>
        <w:spacing w:before="0" w:after="120"/>
      </w:pPr>
      <w:r>
        <w:rPr>
          <w:rFonts w:ascii="Arial" w:cs="Arial" w:eastAsia="Arial" w:hAnsi="Arial"/>
          <w:color w:val="475569"/>
          <w:sz w:val="22"/>
          <w:szCs w:val="22"/>
        </w:rPr>
        <w:t xml:space="preserve">This is what produces the feeling of a coherent, personal story rather than disconnected fragments. A character introduced in the opening scene will be remembered in the fifth scene. A choice made early will cast a shadow on a scene written much later. The experience accumulates meaning as it progresses.</w:t>
      </w:r>
    </w:p>
    <w:p>
      <w:pPr>
        <w:spacing w:before="0" w:after="160"/>
      </w:pPr>
      <w:r>
        <w:t xml:space="preserve"/>
      </w:r>
    </w:p>
    <w:p>
      <w:pPr>
        <w:pStyle w:val="Heading2"/>
        <w:spacing w:before="360" w:after="120"/>
      </w:pPr>
      <w:r>
        <w:rPr>
          <w:rFonts w:ascii="Arial" w:cs="Arial" w:eastAsia="Arial" w:hAnsi="Arial"/>
          <w:b/>
          <w:bCs/>
          <w:color w:val="0E7490"/>
          <w:sz w:val="26"/>
          <w:szCs w:val="26"/>
        </w:rPr>
        <w:t xml:space="preserve">A Personalised Ending for Every Participant</w:t>
      </w:r>
    </w:p>
    <w:p>
      <w:pPr>
        <w:spacing w:before="0" w:after="120"/>
      </w:pPr>
      <w:r>
        <w:rPr>
          <w:rFonts w:ascii="Arial" w:cs="Arial" w:eastAsia="Arial" w:hAnsi="Arial"/>
          <w:color w:val="475569"/>
          <w:sz w:val="22"/>
          <w:szCs w:val="22"/>
        </w:rPr>
        <w:t xml:space="preserve">When a participant reaches an ending, the platform generates a personalised reflection on their specific journey — not a generic summary, but a piece of writing that references the actual scenes they experienced and the choices they made.</w:t>
      </w:r>
    </w:p>
    <w:p>
      <w:pPr>
        <w:spacing w:before="0" w:after="80"/>
      </w:pPr>
      <w:r>
        <w:t xml:space="preserve"/>
      </w:r>
    </w:p>
    <w:p>
      <w:pPr>
        <w:spacing w:before="0" w:after="120"/>
      </w:pPr>
      <w:r>
        <w:rPr>
          <w:rFonts w:ascii="Arial" w:cs="Arial" w:eastAsia="Arial" w:hAnsi="Arial"/>
          <w:color w:val="475569"/>
          <w:sz w:val="22"/>
          <w:szCs w:val="22"/>
        </w:rPr>
        <w:t xml:space="preserve">For training scenarios, this reflection becomes a coaching observation: what the learner's pattern of choices reveals about their approach to the competency being developed. For stories, it becomes an elegiac note on the particular path the reader walked through the narrative.</w:t>
      </w:r>
    </w:p>
    <w:p>
      <w:pPr>
        <w:spacing w:before="0" w:after="80"/>
      </w:pPr>
      <w:r>
        <w:t xml:space="preserve"/>
      </w:r>
    </w:p>
    <w:p>
      <w:pPr>
        <w:spacing w:before="0" w:after="120"/>
      </w:pPr>
      <w:r>
        <w:rPr>
          <w:rFonts w:ascii="Arial" w:cs="Arial" w:eastAsia="Arial" w:hAnsi="Arial"/>
          <w:color w:val="475569"/>
          <w:sz w:val="22"/>
          <w:szCs w:val="22"/>
        </w:rPr>
        <w:t xml:space="preserve">No two participants receive the same ending reflection, because no two participants have taken exactly the same path.</w:t>
      </w:r>
    </w:p>
    <w:p>
      <w:pPr>
        <w:spacing w:before="0" w:after="240"/>
      </w:pPr>
      <w:r>
        <w:t xml:space="preserve"/>
      </w:r>
    </w:p>
    <w:p>
      <w:pPr>
        <w:pStyle w:val="Heading1"/>
        <w:spacing w:before="400" w:after="160"/>
      </w:pPr>
      <w:r>
        <w:rPr>
          <w:rFonts w:ascii="Arial" w:cs="Arial" w:eastAsia="Arial" w:hAnsi="Arial"/>
          <w:b/>
          <w:bCs/>
          <w:color w:val="1A2E4A"/>
          <w:sz w:val="36"/>
          <w:szCs w:val="36"/>
        </w:rPr>
        <w:t xml:space="preserve">What Organisations Configure and What They Do Not</w:t>
      </w:r>
    </w:p>
    <w:p>
      <w:pPr>
        <w:pBdr>
          <w:bottom w:val="single" w:color="0E7490" w:sz="4" w:space="1"/>
        </w:pBdr>
        <w:spacing w:before="120" w:after="120"/>
      </w:pPr>
      <w:r>
        <w:t xml:space="preserve"/>
      </w:r>
    </w:p>
    <w:p>
      <w:pPr>
        <w:spacing w:before="0" w:after="80"/>
      </w:pPr>
      <w:r>
        <w:t xml:space="preserve"/>
      </w:r>
    </w:p>
    <w:p>
      <w:pPr>
        <w:spacing w:before="0" w:after="120"/>
      </w:pPr>
      <w:r>
        <w:rPr>
          <w:rFonts w:ascii="Arial" w:cs="Arial" w:eastAsia="Arial" w:hAnsi="Arial"/>
          <w:color w:val="475569"/>
          <w:sz w:val="22"/>
          <w:szCs w:val="22"/>
        </w:rPr>
        <w:t xml:space="preserve">A common question from organisations considering the platform is: how much work is involved in building an experience? The answer depends on what 'work' means. PageEngine is designed to minimise the technical work while giving content authors genuine creative and instructional control.</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Borders>
              <w:top w:val="single" w:color="0E7490" w:sz="1"/>
              <w:left w:val="single" w:color="0E7490" w:sz="1"/>
              <w:bottom w:val="single" w:color="0E7490" w:sz="1"/>
              <w:right w:val="single" w:color="0E7490" w:sz="1"/>
            </w:tcBorders>
            <w:shd w:fill="0E7490" w:val="clear"/>
            <w:tcMar>
              <w:top w:type="dxa" w:w="80"/>
              <w:left w:type="dxa" w:w="140"/>
              <w:bottom w:type="dxa" w:w="80"/>
              <w:right w:type="dxa" w:w="140"/>
            </w:tcMar>
          </w:tcPr>
          <w:p>
            <w:r>
              <w:rPr>
                <w:rFonts w:ascii="Arial" w:cs="Arial" w:eastAsia="Arial" w:hAnsi="Arial"/>
                <w:b/>
                <w:bCs/>
                <w:color w:val="FFFFFF"/>
                <w:sz w:val="22"/>
                <w:szCs w:val="22"/>
              </w:rPr>
              <w:t xml:space="preserve">Organisations configure</w:t>
            </w:r>
          </w:p>
        </w:tc>
        <w:tc>
          <w:tcPr>
            <w:tcBorders>
              <w:top w:val="single" w:color="1A2E4A" w:sz="1"/>
              <w:left w:val="single" w:color="1A2E4A" w:sz="1"/>
              <w:bottom w:val="single" w:color="1A2E4A" w:sz="1"/>
              <w:right w:val="single" w:color="1A2E4A" w:sz="1"/>
            </w:tcBorders>
            <w:shd w:fill="1A2E4A" w:val="clear"/>
            <w:tcMar>
              <w:top w:type="dxa" w:w="80"/>
              <w:left w:type="dxa" w:w="140"/>
              <w:bottom w:type="dxa" w:w="80"/>
              <w:right w:type="dxa" w:w="140"/>
            </w:tcMar>
          </w:tcPr>
          <w:p>
            <w:r>
              <w:rPr>
                <w:rFonts w:ascii="Arial" w:cs="Arial" w:eastAsia="Arial" w:hAnsi="Arial"/>
                <w:b/>
                <w:bCs/>
                <w:color w:val="FFFFFF"/>
                <w:sz w:val="22"/>
                <w:szCs w:val="22"/>
              </w:rPr>
              <w:t xml:space="preserve">PageEngine handles</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The setting and characters of their scenario or story</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Generating all the prose at runtime — no script-writing required</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The decision points and possible endings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Managing the branching logic and routing participants to the right path</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Their own policies, documents, and knowledge base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Reading and applying those documents accurately when generating content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Behavioural rules for specific situations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Enforcing those rules consistently across every generated scene</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What a good outcome and a poor outcome look like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Tracking participant decisions and routing toward the appropriate outcome</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How the experience is presented — branding, platform, language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1"/>
                <w:szCs w:val="21"/>
              </w:rPr>
              <w:t xml:space="preserve">All the AI, all the infrastructure, all the delivery</w:t>
            </w:r>
          </w:p>
        </w:tc>
      </w:tr>
    </w:tbl>
    <w:p>
      <w:pPr>
        <w:spacing w:before="0" w:after="240"/>
      </w:pPr>
      <w:r>
        <w:t xml:space="preserve"/>
      </w:r>
    </w:p>
    <w:p>
      <w:pPr>
        <w:spacing w:before="0" w:after="120"/>
      </w:pPr>
      <w:r>
        <w:rPr>
          <w:rFonts w:ascii="Arial" w:cs="Arial" w:eastAsia="Arial" w:hAnsi="Arial"/>
          <w:color w:val="475569"/>
          <w:sz w:val="22"/>
          <w:szCs w:val="22"/>
        </w:rPr>
        <w:t xml:space="preserve">Organisations do not write scripts. They do not pre-author dialogue. They do not create branching trees by hand. They define the world, the people, the policies, and the shape — and the platform generates everything else.</w:t>
      </w:r>
    </w:p>
    <w:p>
      <w:pPr>
        <w:spacing w:before="0" w:after="240"/>
      </w:pPr>
      <w:r>
        <w:t xml:space="preserve"/>
      </w:r>
    </w:p>
    <w:p>
      <w:pPr>
        <w:pStyle w:val="Heading1"/>
        <w:spacing w:before="400" w:after="160"/>
      </w:pPr>
      <w:r>
        <w:rPr>
          <w:rFonts w:ascii="Arial" w:cs="Arial" w:eastAsia="Arial" w:hAnsi="Arial"/>
          <w:b/>
          <w:bCs/>
          <w:color w:val="1A2E4A"/>
          <w:sz w:val="36"/>
          <w:szCs w:val="36"/>
        </w:rPr>
        <w:t xml:space="preserve">Data and Insight</w:t>
      </w:r>
    </w:p>
    <w:p>
      <w:pPr>
        <w:pBdr>
          <w:bottom w:val="single" w:color="0E7490" w:sz="4" w:space="1"/>
        </w:pBdr>
        <w:spacing w:before="120" w:after="120"/>
      </w:pPr>
      <w:r>
        <w:t xml:space="preserve"/>
      </w:r>
    </w:p>
    <w:p>
      <w:pPr>
        <w:spacing w:before="0" w:after="80"/>
      </w:pPr>
      <w:r>
        <w:t xml:space="preserve"/>
      </w:r>
    </w:p>
    <w:p>
      <w:pPr>
        <w:spacing w:before="0" w:after="120"/>
      </w:pPr>
      <w:r>
        <w:rPr>
          <w:rFonts w:ascii="Arial" w:cs="Arial" w:eastAsia="Arial" w:hAnsi="Arial"/>
          <w:color w:val="475569"/>
          <w:sz w:val="22"/>
          <w:szCs w:val="22"/>
        </w:rPr>
        <w:t xml:space="preserve">Every decision a participant makes is recorded. PageEngine provides authors and administrators with data on how people are engaging with their experiences — not just who completed them, but what choices they made, which paths they took, and where they ended up.</w:t>
      </w:r>
    </w:p>
    <w:p>
      <w:pPr>
        <w:spacing w:before="0" w:after="160"/>
      </w:pPr>
      <w:r>
        <w:t xml:space="preserve"/>
      </w:r>
    </w:p>
    <w:p>
      <w:pPr>
        <w:pStyle w:val="ListParagraph"/>
        <w:numPr>
          <w:ilvl w:val="0"/>
          <w:numId w:val="2"/>
        </w:numPr>
        <w:spacing w:before="0" w:after="60"/>
      </w:pPr>
      <w:r>
        <w:rPr>
          <w:rFonts w:ascii="Arial" w:cs="Arial" w:eastAsia="Arial" w:hAnsi="Arial"/>
          <w:color w:val="475569"/>
          <w:sz w:val="22"/>
          <w:szCs w:val="22"/>
        </w:rPr>
        <w:t xml:space="preserve">Which decision points are producing the most divergent choices — where participants are genuinely uncertain</w:t>
      </w:r>
    </w:p>
    <w:p>
      <w:pPr>
        <w:pStyle w:val="ListParagraph"/>
        <w:numPr>
          <w:ilvl w:val="0"/>
          <w:numId w:val="2"/>
        </w:numPr>
        <w:spacing w:before="0" w:after="60"/>
      </w:pPr>
      <w:r>
        <w:rPr>
          <w:rFonts w:ascii="Arial" w:cs="Arial" w:eastAsia="Arial" w:hAnsi="Arial"/>
          <w:color w:val="475569"/>
          <w:sz w:val="22"/>
          <w:szCs w:val="22"/>
        </w:rPr>
        <w:t xml:space="preserve">Which endings participants are reaching, and whether the distribution is what the author intended</w:t>
      </w:r>
    </w:p>
    <w:p>
      <w:pPr>
        <w:pStyle w:val="ListParagraph"/>
        <w:numPr>
          <w:ilvl w:val="0"/>
          <w:numId w:val="2"/>
        </w:numPr>
        <w:spacing w:before="0" w:after="60"/>
      </w:pPr>
      <w:r>
        <w:rPr>
          <w:rFonts w:ascii="Arial" w:cs="Arial" w:eastAsia="Arial" w:hAnsi="Arial"/>
          <w:color w:val="475569"/>
          <w:sz w:val="22"/>
          <w:szCs w:val="22"/>
        </w:rPr>
        <w:t xml:space="preserve">How long participants are spending on each scene — an indicator of engagement and cognitive load</w:t>
      </w:r>
    </w:p>
    <w:p>
      <w:pPr>
        <w:pStyle w:val="ListParagraph"/>
        <w:numPr>
          <w:ilvl w:val="0"/>
          <w:numId w:val="2"/>
        </w:numPr>
        <w:spacing w:before="0" w:after="60"/>
      </w:pPr>
      <w:r>
        <w:rPr>
          <w:rFonts w:ascii="Arial" w:cs="Arial" w:eastAsia="Arial" w:hAnsi="Arial"/>
          <w:color w:val="475569"/>
          <w:sz w:val="22"/>
          <w:szCs w:val="22"/>
        </w:rPr>
        <w:t xml:space="preserve">What proportion of participants made the same consequential choice — useful for identifying patterns in how a team or cohort approaches a particular competency</w:t>
      </w:r>
    </w:p>
    <w:p>
      <w:pPr>
        <w:spacing w:before="0" w:after="160"/>
      </w:pPr>
      <w:r>
        <w:t xml:space="preserve"/>
      </w:r>
    </w:p>
    <w:p>
      <w:pPr>
        <w:spacing w:before="0" w:after="120"/>
      </w:pPr>
      <w:r>
        <w:rPr>
          <w:rFonts w:ascii="Arial" w:cs="Arial" w:eastAsia="Arial" w:hAnsi="Arial"/>
          <w:color w:val="475569"/>
          <w:sz w:val="22"/>
          <w:szCs w:val="22"/>
        </w:rPr>
        <w:t xml:space="preserve">For training contexts, this data connects directly to the competency framework the organisation defines in their Experience Context Pack. Organisations can see, at a cohort level, how their people approach real workplace dilemmas — not in the abstract, but in the specific situations that matter to their business.</w:t>
      </w:r>
    </w:p>
    <w:p>
      <w:pPr>
        <w:spacing w:before="0" w:after="240"/>
      </w:pPr>
      <w:r>
        <w:t xml:space="preserve"/>
      </w:r>
    </w:p>
    <w:p>
      <w:pPr>
        <w:pStyle w:val="Heading1"/>
        <w:spacing w:before="400" w:after="160"/>
      </w:pPr>
      <w:r>
        <w:rPr>
          <w:rFonts w:ascii="Arial" w:cs="Arial" w:eastAsia="Arial" w:hAnsi="Arial"/>
          <w:b/>
          <w:bCs/>
          <w:color w:val="1A2E4A"/>
          <w:sz w:val="36"/>
          <w:szCs w:val="36"/>
        </w:rPr>
        <w:t xml:space="preserve">Getting Started</w:t>
      </w:r>
    </w:p>
    <w:p>
      <w:pPr>
        <w:pBdr>
          <w:bottom w:val="single" w:color="0E7490" w:sz="4" w:space="1"/>
        </w:pBdr>
        <w:spacing w:before="120" w:after="120"/>
      </w:pPr>
      <w:r>
        <w:t xml:space="preserve"/>
      </w:r>
    </w:p>
    <w:p>
      <w:pPr>
        <w:spacing w:before="0" w:after="80"/>
      </w:pPr>
      <w:r>
        <w:t xml:space="preserve"/>
      </w:r>
    </w:p>
    <w:p>
      <w:pPr>
        <w:spacing w:before="0" w:after="120"/>
      </w:pPr>
      <w:r>
        <w:rPr>
          <w:rFonts w:ascii="Arial" w:cs="Arial" w:eastAsia="Arial" w:hAnsi="Arial"/>
          <w:color w:val="475569"/>
          <w:sz w:val="22"/>
          <w:szCs w:val="22"/>
        </w:rPr>
        <w:t xml:space="preserve">PageEngine is available to organisations on a platform licence basis. Onboarding involves three steps: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single" w:color="0E7490" w:sz="1"/>
              <w:left w:val="single" w:color="0E7490" w:sz="1"/>
              <w:bottom w:val="single" w:color="0E7490" w:sz="1"/>
              <w:right w:val="single" w:color="0E7490" w:sz="1"/>
            </w:tcBorders>
            <w:shd w:fill="0E7490"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01</w:t>
            </w:r>
          </w:p>
        </w:tc>
        <w:tc>
          <w:tcPr>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A2E4A"/>
                <w:sz w:val="22"/>
                <w:szCs w:val="22"/>
              </w:rPr>
              <w:t xml:space="preserve">Use Case Configuration</w:t>
            </w:r>
          </w:p>
          <w:p>
            <w:r>
              <w:rPr>
                <w:rFonts w:ascii="Arial" w:cs="Arial" w:eastAsia="Arial" w:hAnsi="Arial"/>
                <w:color w:val="475569"/>
                <w:sz w:val="21"/>
                <w:szCs w:val="21"/>
              </w:rPr>
              <w:t xml:space="preserve">We work with your team to identify which standard use case best fits your needs, or whether a custom configuration is appropriate. This conversation typically takes one session.</w:t>
            </w:r>
          </w:p>
        </w:tc>
      </w:tr>
      <w:tr>
        <w:tc>
          <w:tcPr>
            <w:tcBorders>
              <w:top w:val="single" w:color="0E7490" w:sz="1"/>
              <w:left w:val="single" w:color="0E7490" w:sz="1"/>
              <w:bottom w:val="single" w:color="0E7490" w:sz="1"/>
              <w:right w:val="single" w:color="0E7490" w:sz="1"/>
            </w:tcBorders>
            <w:shd w:fill="0E7490"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02</w:t>
            </w:r>
          </w:p>
        </w:tc>
        <w:tc>
          <w:tcPr>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A2E4A"/>
                <w:sz w:val="22"/>
                <w:szCs w:val="22"/>
              </w:rPr>
              <w:t xml:space="preserve">Experience Context Pack</w:t>
            </w:r>
          </w:p>
          <w:p>
            <w:r>
              <w:rPr>
                <w:rFonts w:ascii="Arial" w:cs="Arial" w:eastAsia="Arial" w:hAnsi="Arial"/>
                <w:color w:val="475569"/>
                <w:sz w:val="21"/>
                <w:szCs w:val="21"/>
              </w:rPr>
              <w:t xml:space="preserve">Your subject matter experts build the Experience Context Pack for your first experience — the setting, the people, the policies, and the behavioural rules. We provide templates and a structured authoring tool. Most organisations can build their first Context Pack in a day.</w:t>
            </w:r>
          </w:p>
        </w:tc>
      </w:tr>
      <w:tr>
        <w:tc>
          <w:tcPr>
            <w:tcBorders>
              <w:top w:val="single" w:color="0E7490" w:sz="1"/>
              <w:left w:val="single" w:color="0E7490" w:sz="1"/>
              <w:bottom w:val="single" w:color="0E7490" w:sz="1"/>
              <w:right w:val="single" w:color="0E7490" w:sz="1"/>
            </w:tcBorders>
            <w:shd w:fill="0E7490"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03</w:t>
            </w:r>
          </w:p>
        </w:tc>
        <w:tc>
          <w:tcPr>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A2E4A"/>
                <w:sz w:val="22"/>
                <w:szCs w:val="22"/>
              </w:rPr>
              <w:t xml:space="preserve">Shape Design</w:t>
            </w:r>
          </w:p>
          <w:p>
            <w:r>
              <w:rPr>
                <w:rFonts w:ascii="Arial" w:cs="Arial" w:eastAsia="Arial" w:hAnsi="Arial"/>
                <w:color w:val="475569"/>
                <w:sz w:val="21"/>
                <w:szCs w:val="21"/>
              </w:rPr>
              <w:t xml:space="preserve">We work with you to design the shape of the experience — the decision points, the outcomes, and the competency dimensions being assessed. This becomes the blueprint the AI fills with content.</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FEF3C7" w:sz="1"/>
              <w:left w:val="single" w:color="FEF3C7" w:sz="1"/>
              <w:bottom w:val="single" w:color="FEF3C7" w:sz="1"/>
              <w:right w:val="single" w:color="FEF3C7" w:sz="1"/>
            </w:tcBorders>
            <w:shd w:fill="F59E0B" w:val="clear"/>
            <w:tcMar>
              <w:top w:type="dxa" w:w="100"/>
              <w:left w:type="dxa" w:w="160"/>
              <w:bottom w:type="dxa" w:w="60"/>
              <w:right w:type="dxa" w:w="160"/>
            </w:tcMar>
          </w:tcPr>
          <w:p>
            <w:r>
              <w:rPr>
                <w:rFonts w:ascii="Arial" w:cs="Arial" w:eastAsia="Arial" w:hAnsi="Arial"/>
                <w:b/>
                <w:bCs/>
                <w:color w:val="FFFFFF"/>
                <w:sz w:val="22"/>
                <w:szCs w:val="22"/>
              </w:rPr>
              <w:t xml:space="preserve">Pilot Programme</w:t>
            </w:r>
          </w:p>
        </w:tc>
      </w:tr>
      <w:tr>
        <w:tc>
          <w:tcPr>
            <w:tcBorders>
              <w:top w:val="single" w:color="FEF3C7" w:sz="1"/>
              <w:left w:val="single" w:color="FEF3C7" w:sz="1"/>
              <w:bottom w:val="single" w:color="FEF3C7" w:sz="1"/>
              <w:right w:val="single" w:color="FEF3C7" w:sz="1"/>
            </w:tcBorders>
            <w:shd w:fill="FEF3C7" w:val="clear"/>
            <w:tcMar>
              <w:top w:type="dxa" w:w="60"/>
              <w:left w:type="dxa" w:w="160"/>
              <w:bottom w:type="dxa" w:w="60"/>
              <w:right w:type="dxa" w:w="160"/>
            </w:tcMar>
          </w:tcPr>
          <w:p>
            <w:r>
              <w:rPr>
                <w:rFonts w:ascii="Arial" w:cs="Arial" w:eastAsia="Arial" w:hAnsi="Arial"/>
                <w:color w:val="475569"/>
                <w:sz w:val="21"/>
                <w:szCs w:val="21"/>
              </w:rPr>
              <w:t xml:space="preserve">We are currently onboarding a small number of pilot clients across the utilities, financial services, and healthcare sectors.</w:t>
            </w:r>
          </w:p>
        </w:tc>
      </w:tr>
      <w:tr>
        <w:tc>
          <w:tcPr>
            <w:tcBorders>
              <w:top w:val="single" w:color="FEF3C7" w:sz="1"/>
              <w:left w:val="single" w:color="FEF3C7" w:sz="1"/>
              <w:bottom w:val="single" w:color="FEF3C7" w:sz="1"/>
              <w:right w:val="single" w:color="FEF3C7" w:sz="1"/>
            </w:tcBorders>
            <w:shd w:fill="FEF3C7" w:val="clear"/>
            <w:tcMar>
              <w:top w:type="dxa" w:w="60"/>
              <w:left w:type="dxa" w:w="160"/>
              <w:bottom w:type="dxa" w:w="60"/>
              <w:right w:type="dxa" w:w="160"/>
            </w:tcMar>
          </w:tcPr>
          <w:p>
            <w:r>
              <w:rPr>
                <w:rFonts w:ascii="Arial" w:cs="Arial" w:eastAsia="Arial" w:hAnsi="Arial"/>
                <w:color w:val="475569"/>
                <w:sz w:val="21"/>
                <w:szCs w:val="21"/>
              </w:rPr>
              <w:t xml:space="preserve"/>
            </w:r>
          </w:p>
        </w:tc>
      </w:tr>
      <w:tr>
        <w:tc>
          <w:tcPr>
            <w:tcBorders>
              <w:top w:val="single" w:color="FEF3C7" w:sz="1"/>
              <w:left w:val="single" w:color="FEF3C7" w:sz="1"/>
              <w:bottom w:val="single" w:color="FEF3C7" w:sz="1"/>
              <w:right w:val="single" w:color="FEF3C7" w:sz="1"/>
            </w:tcBorders>
            <w:shd w:fill="FEF3C7" w:val="clear"/>
            <w:tcMar>
              <w:top w:type="dxa" w:w="60"/>
              <w:left w:type="dxa" w:w="160"/>
              <w:bottom w:type="dxa" w:w="60"/>
              <w:right w:type="dxa" w:w="160"/>
            </w:tcMar>
          </w:tcPr>
          <w:p>
            <w:r>
              <w:rPr>
                <w:rFonts w:ascii="Arial" w:cs="Arial" w:eastAsia="Arial" w:hAnsi="Arial"/>
                <w:color w:val="475569"/>
                <w:sz w:val="21"/>
                <w:szCs w:val="21"/>
              </w:rPr>
              <w:t xml:space="preserve">Pilot clients receive a fully configured experience built with their own content, access to the authoring tool to build subsequent experiences independently, and dedicated support through their first deployment.</w:t>
            </w:r>
          </w:p>
        </w:tc>
      </w:tr>
      <w:tr>
        <w:tc>
          <w:tcPr>
            <w:tcBorders>
              <w:top w:val="single" w:color="FEF3C7" w:sz="1"/>
              <w:left w:val="single" w:color="FEF3C7" w:sz="1"/>
              <w:bottom w:val="single" w:color="FEF3C7" w:sz="1"/>
              <w:right w:val="single" w:color="FEF3C7" w:sz="1"/>
            </w:tcBorders>
            <w:shd w:fill="FEF3C7" w:val="clear"/>
            <w:tcMar>
              <w:top w:type="dxa" w:w="60"/>
              <w:left w:type="dxa" w:w="160"/>
              <w:bottom w:type="dxa" w:w="60"/>
              <w:right w:type="dxa" w:w="160"/>
            </w:tcMar>
          </w:tcPr>
          <w:p>
            <w:r>
              <w:rPr>
                <w:rFonts w:ascii="Arial" w:cs="Arial" w:eastAsia="Arial" w:hAnsi="Arial"/>
                <w:color w:val="475569"/>
                <w:sz w:val="21"/>
                <w:szCs w:val="21"/>
              </w:rPr>
              <w:t xml:space="preserve"/>
            </w:r>
          </w:p>
        </w:tc>
      </w:tr>
      <w:tr>
        <w:tc>
          <w:tcPr>
            <w:tcBorders>
              <w:top w:val="single" w:color="FEF3C7" w:sz="1"/>
              <w:left w:val="single" w:color="FEF3C7" w:sz="1"/>
              <w:bottom w:val="single" w:color="FEF3C7" w:sz="1"/>
              <w:right w:val="single" w:color="FEF3C7" w:sz="1"/>
            </w:tcBorders>
            <w:shd w:fill="FEF3C7" w:val="clear"/>
            <w:tcMar>
              <w:top w:type="dxa" w:w="60"/>
              <w:left w:type="dxa" w:w="160"/>
              <w:bottom w:type="dxa" w:w="60"/>
              <w:right w:type="dxa" w:w="160"/>
            </w:tcMar>
          </w:tcPr>
          <w:p>
            <w:r>
              <w:rPr>
                <w:rFonts w:ascii="Arial" w:cs="Arial" w:eastAsia="Arial" w:hAnsi="Arial"/>
                <w:color w:val="475569"/>
                <w:sz w:val="21"/>
                <w:szCs w:val="21"/>
              </w:rPr>
              <w:t xml:space="preserve">To discuss a pilot, please get in touch.</w:t>
            </w:r>
          </w:p>
        </w:tc>
      </w:tr>
    </w:tbl>
    <w:p>
      <w:pPr>
        <w:spacing w:before="0" w:after="240"/>
      </w:pPr>
      <w:r>
        <w:t xml:space="preserve"/>
      </w:r>
    </w:p>
    <w:p>
      <w:pPr>
        <w:spacing w:before="200" w:after="200"/>
        <w:jc w:val="center"/>
      </w:pPr>
      <w:r>
        <w:rPr>
          <w:rFonts w:ascii="Arial" w:cs="Arial" w:eastAsia="Arial" w:hAnsi="Arial"/>
          <w:b/>
          <w:bCs/>
          <w:color w:val="0E7490"/>
          <w:sz w:val="22"/>
          <w:szCs w:val="22"/>
        </w:rPr>
        <w:t xml:space="preserve">pageengine.io  ·  hello@pageengine.io</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pPr>
    <w:r>
      <w:rPr>
        <w:rFonts w:ascii="Arial" w:cs="Arial" w:eastAsia="Arial" w:hAnsi="Arial"/>
        <w:color w:val="475569"/>
        <w:sz w:val="18"/>
        <w:szCs w:val="18"/>
      </w:rPr>
      <w:t xml:space="preserve">© PageEngine 2025  </w:t>
    </w:r>
    <w:r>
      <w:rPr>
        <w:rFonts w:ascii="Arial" w:cs="Arial" w:eastAsia="Arial" w:hAnsi="Arial"/>
        <w:sz w:val="18"/>
        <w:szCs w:val="18"/>
      </w:rPr>
      <w:t xml:space="preserve">	</w:t>
    </w:r>
    <w:r>
      <w:rPr>
        <w:rFonts w:ascii="Arial" w:cs="Arial" w:eastAsia="Arial" w:hAnsi="Arial"/>
        <w:color w:val="47556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490" w:sz="4" w:space="1"/>
      </w:pBdr>
    </w:pPr>
    <w:r>
      <w:rPr>
        <w:rFonts w:ascii="Arial" w:cs="Arial" w:eastAsia="Arial" w:hAnsi="Arial"/>
        <w:color w:val="475569"/>
        <w:sz w:val="18"/>
        <w:szCs w:val="18"/>
      </w:rPr>
      <w:t xml:space="preserve">PageEngine — Confidential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E7490"/>
      <w:sz w:val="26"/>
      <w:szCs w:val="26"/>
    </w:rPr>
  </w:style>
  <w:style w:type="paragraph" w:styleId="Heading3">
    <w:name w:val="Heading 3"/>
    <w:basedOn w:val="Normal"/>
    <w:next w:val="Normal"/>
    <w:qFormat/>
    <w:pPr>
      <w:spacing w:before="280" w:after="80"/>
      <w:outlineLvl w:val="2"/>
    </w:pPr>
    <w:rPr>
      <w:rFonts w:ascii="Arial" w:cs="Arial" w:eastAsia="Arial" w:hAnsi="Arial"/>
      <w:b/>
      <w:bCs/>
      <w:color w:val="1A2E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2026-03-16T22:48:15.569Z</dcterms:created>
  <dcterms:modified xsi:type="dcterms:W3CDTF">2026-03-16T22:48:15.570Z</dcterms:modified>
</cp:coreProperties>
</file>

<file path=docProps/custom.xml><?xml version="1.0" encoding="utf-8"?>
<Properties xmlns="http://schemas.openxmlformats.org/officeDocument/2006/custom-properties" xmlns:vt="http://schemas.openxmlformats.org/officeDocument/2006/docPropsVTypes"/>
</file>