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Техническое задание — «Клиентский кабинет» (синтетика)</w:t>
      </w:r>
    </w:p>
    <w:p>
      <w:r>
        <w:t xml:space="preserve">Версия 1.4 · проект фикстур client-cabinet · не путать с проектом other-tenant</w:t>
      </w:r>
    </w:p>
    <w:p>
      <w:r>
        <w:t xml:space="preserve">14 января 2026 года</w:t>
      </w:r>
    </w:p>
    <w:p>
      <w:pPr>
        <w:pStyle w:val="Heading1"/>
        <w:numPr>
          <w:ilvl w:val="0"/>
          <w:numId w:val="1"/>
        </w:numPr>
      </w:pPr>
      <w:r>
        <w:t xml:space="preserve">Назначение</w:t>
      </w:r>
    </w:p>
    <w:p>
      <w:r>
        <w:t xml:space="preserve">Веб-кабинет клиента: вход, профиль, оплата счетов. Не мобильное приложение.</w:t>
      </w:r>
    </w:p>
    <w:p>
      <w:r>
        <w:t xml:space="preserve">Срок исправления замечаний после приёмки каждого этапа —</w:t>
      </w:r>
      <w:r>
        <w:br/>
      </w:r>
      <w:r>
        <w:t xml:space="preserve">10 рабочих дней с даты подписания протокола.</w:t>
      </w:r>
    </w:p>
    <w:p>
      <w:pPr>
        <w:pStyle w:val="Heading1"/>
        <w:numPr>
          <w:ilvl w:val="0"/>
          <w:numId w:val="1"/>
        </w:numPr>
      </w:pPr>
      <w:r>
        <w:t xml:space="preserve">Кнопки и цвет</w:t>
      </w:r>
    </w:p>
    <w:p>
      <w:pPr>
        <w:pStyle w:val="Heading2"/>
        <w:numPr>
          <w:ilvl w:val="1"/>
          <w:numId w:val="1"/>
        </w:numPr>
      </w:pPr>
      <w:r>
        <w:t xml:space="preserve">Primary</w:t>
      </w:r>
    </w:p>
    <w:p>
      <w:r>
        <w:t xml:space="preserve">Primary-кнопка — синяя #0B5FFF, подпись Сохранить на формах профиля и оплаты. На одной форме — одна primary.</w:t>
      </w:r>
    </w:p>
    <w:p>
      <w:r>
        <w:t xml:space="preserve">2 кнопки primary на одной форме недопустимы: вторая становится secondary.</w:t>
      </w:r>
    </w:p>
    <w:p>
      <w:pPr>
        <w:pStyle w:val="Heading2"/>
        <w:numPr>
          <w:ilvl w:val="1"/>
          <w:numId w:val="1"/>
        </w:numPr>
      </w:pPr>
      <w:r>
        <w:t xml:space="preserve">Secondary</w:t>
      </w:r>
    </w:p>
    <w:p>
      <w:r>
        <w:t xml:space="preserve">Secondary — серая, без заливки. Не использовать secondary там, где действие главное (сохранение данных).</w:t>
      </w:r>
    </w:p>
    <w:p>
      <w:r>
        <w:t xml:space="preserve">Таблица 1 — Кнопки на формах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0" w:type="dxa"/>
          <w:right w:w="100" w:type="dxa"/>
        </w:tblCellMar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w="2000" w:type="dxa"/>
          </w:tcPr>
          <w:p>
            <w:pPr>
              <w:spacing w:after="0"/>
            </w:pPr>
            <w:r>
              <w:rPr>
                <w:b/>
              </w:rPr>
              <w:t xml:space="preserve">Кнопка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b/>
              </w:rPr>
              <w:t xml:space="preserve">Цвет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b/>
              </w:rPr>
              <w:t xml:space="preserve">Где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t xml:space="preserve">Primary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>синяя #0B5FFF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«Сохранить» в профиле и оплате, «Войти»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t xml:space="preserve">Secondary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>серая, без заливки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второстепенные действия</w:t>
            </w:r>
          </w:p>
        </w:tc>
      </w:tr>
    </w:tbl>
    <w:p/>
    <w:p>
      <w:pPr>
        <w:pStyle w:val="Heading1"/>
        <w:pageBreakBefore/>
        <w:numPr>
          <w:ilvl w:val="0"/>
          <w:numId w:val="1"/>
        </w:numPr>
      </w:pPr>
      <w:r>
        <w:t xml:space="preserve">Вход</w:t>
      </w:r>
    </w:p>
    <w:p>
      <w:r>
        <w:t xml:space="preserve">Форма входа: поля email и пароль. Кнопка «Войти» — primary. Социальный вход (Google, Apple) не предусмотрен.</w:t>
      </w:r>
    </w:p>
    <w:p>
      <w:pPr>
        <w:pStyle w:val="Heading1"/>
        <w:numPr>
          <w:ilvl w:val="0"/>
          <w:numId w:val="1"/>
        </w:numPr>
      </w:pPr>
      <w:r>
        <w:t xml:space="preserve">Оплата</w:t>
      </w:r>
    </w:p>
    <w:p>
      <w:pPr>
        <w:pStyle w:val="Heading2"/>
        <w:numPr>
          <w:ilvl w:val="1"/>
          <w:numId w:val="1"/>
        </w:numPr>
      </w:pPr>
      <w:r>
        <w:t xml:space="preserve">Успех</w:t>
      </w:r>
    </w:p>
    <w:p>
      <w:r>
        <w:t xml:space="preserve">После успешной оплаты — экран с номером платежа.</w:t>
      </w:r>
    </w:p>
    <w:p>
      <w:r>
        <w:t xml:space="preserve">Сценарий оплаты:</w:t>
      </w:r>
    </w:p>
    <w:p>
      <w:pPr>
        <w:pStyle w:val="ListParagraph"/>
        <w:numPr>
          <w:ilvl w:val="0"/>
          <w:numId w:val="2"/>
        </w:numPr>
      </w:pPr>
      <w:r>
        <w:t xml:space="preserve">Открыть форму оплаты</w:t>
      </w:r>
    </w:p>
    <w:p>
      <w:pPr>
        <w:pStyle w:val="ListParagraph"/>
        <w:numPr>
          <w:ilvl w:val="0"/>
          <w:numId w:val="2"/>
        </w:numPr>
      </w:pPr>
      <w:r>
        <w:t xml:space="preserve">Ввести номер счёта и сумму</w:t>
      </w:r>
    </w:p>
    <w:p>
      <w:pPr>
        <w:pStyle w:val="ListParagraph"/>
        <w:numPr>
          <w:ilvl w:val="0"/>
          <w:numId w:val="2"/>
        </w:numPr>
      </w:pPr>
      <w:r>
        <w:t xml:space="preserve">Нажать «Оплатить» и дождаться экрана с номером платежа</w:t>
      </w:r>
    </w:p>
    <w:p>
      <w:r>
        <w:t xml:space="preserve">Стоимость одного этапа фиксирована:</w:t>
      </w:r>
      <w:r>
        <w:br/>
      </w:r>
      <w:r>
        <w:t xml:space="preserve">5000 рублей за этап, НДС не облагается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0" w:type="dxa"/>
          <w:right w:w="100" w:type="dxa"/>
        </w:tblCellMar>
      </w:tblPr>
      <w:tblGrid>
        <w:gridCol w:w="900"/>
        <w:gridCol w:w="3300"/>
        <w:gridCol w:w="2600"/>
        <w:gridCol w:w="2400"/>
      </w:tblGrid>
      <w:tr>
        <w:trPr>
          <w:tblHeader/>
        </w:trPr>
        <w:tc>
          <w:tcPr>
            <w:tcW w:w="900" w:type="dxa"/>
          </w:tcPr>
          <w:p>
            <w:pPr>
              <w:spacing w:after="0"/>
            </w:pPr>
            <w:r>
              <w:rPr>
                <w:b/>
              </w:rPr>
              <w:t xml:space="preserve">Этап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Что сдаём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b/>
              </w:rPr>
              <w:t xml:space="preserve">Сумма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b/>
              </w:rPr>
              <w:t xml:space="preserve">Срок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Вход и профиль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5000 рублей за этап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10 рабочих дней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Оплата счетов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5000 рублей за этап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10 рабочих дней</w:t>
            </w:r>
          </w:p>
        </w:tc>
      </w:tr>
    </w:tbl>
    <w:p/>
    <w:p>
      <w:pPr>
        <w:pStyle w:val="Heading2"/>
        <w:numPr>
          <w:ilvl w:val="1"/>
          <w:numId w:val="1"/>
        </w:numPr>
      </w:pPr>
      <w:r>
        <w:t xml:space="preserve">Ошибки</w:t>
      </w:r>
    </w:p>
    <w:p>
      <w:r>
        <w:t xml:space="preserve">Текст ошибки платежа показывается под полем, красным. Не тост, не модалка.</w:t>
      </w:r>
    </w:p>
    <w:p>
      <w:pPr>
        <w:pStyle w:val="Heading1"/>
        <w:pageBreakBefore/>
        <w:numPr>
          <w:ilvl w:val="0"/>
          <w:numId w:val="1"/>
        </w:numPr>
      </w:pPr>
      <w:r>
        <w:t xml:space="preserve">Устаревший фрагмент (конфликт)</w:t>
      </w:r>
    </w:p>
    <w:p>
      <w:r>
        <w:t xml:space="preserve">(оставлен специально для eval: конфликт с 2.1)</w:t>
      </w:r>
    </w:p>
    <w:p>
      <w:r>
        <w:t xml:space="preserve">Главное действие на форме можно делать серой кнопкой, если «так привычнее бухгалтерии».</w:t>
      </w:r>
    </w:p>
    <w:p>
      <w:r>
        <w:t xml:space="preserve">Система при конфликте 2.1 vs 5 не выбирает сама — класс unspecified / conflict, решает человек.</w:t>
      </w:r>
    </w:p>
    <w:p>
      <w:pPr>
        <w:pStyle w:val="Heading1"/>
        <w:numPr>
          <w:ilvl w:val="0"/>
          <w:numId w:val="1"/>
        </w:numPr>
      </w:pPr>
      <w:r>
        <w:t xml:space="preserve">Чего в ТЗ нет (дыры)</w:t>
      </w:r>
    </w:p>
    <w:p>
      <w:r>
        <w:t xml:space="preserve">В этом документе нет: тёмной темы, выгрузки реестра в Excel, двухфакторной аутентификации, смены языка.</w:t>
      </w:r>
    </w:p>
    <w:p>
      <w:r>
        <w:t xml:space="preserve">Замечания про это — не авто-CR и не авто-дефект. Это unspecified, пока человек не решил, или CR если явно «хотим новое».</w:t>
      </w:r>
    </w:p>
    <w:sectPr>
      <w:headerReference w:type="default" r:id="rIdHeader"/>
      <w:footerReference w:type="default" r:id="rIdFooter"/>
      <w:pgSz w:w="11906" w:h="16838"/>
      <w:pgMar w:top="1134" w:right="850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Стр. </w:t>
    </w:r>
    <w:fldSimple w:instr=" PAGE ">
      <w:r>
        <w:t xml:space="preserve">1</w:t>
      </w:r>
    </w:fldSimple>
    <w:r>
      <w:t xml:space="preserve"> из </w:t>
    </w:r>
    <w:fldSimple w:instr=" NUMPAGES ">
      <w: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t xml:space="preserve">ТЗ «Клиентский кабинет» · версия 1.4 · синтетика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576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576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paragraph" w:styleId="Header">
    <w:name w:val="header"/>
    <w:basedOn w:val="Normal"/>
    <w:pPr>
      <w:spacing w:after="0"/>
    </w:pPr>
    <w:rPr>
      <w:sz w:val="18"/>
      <w:szCs w:val="18"/>
    </w:rPr>
  </w:style>
  <w:style w:type="paragraph" w:styleId="Footer">
    <w:name w:val="footer"/>
    <w:basedOn w:val="Normal"/>
    <w:pPr>
      <w:spacing w:after="0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/Relationships>
</file>