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2"/>
          <w:szCs w:val="32"/>
        </w:rPr>
        <w:t xml:space="preserve">CAPSTONE RESEARCH SCAFFOLD</w:t>
      </w:r>
    </w:p>
    <w:p>
      <w:pPr>
        <w:spacing w:after="40"/>
        <w:jc w:val="center"/>
      </w:pPr>
      <w:r>
        <w:rPr>
          <w:rFonts w:ascii="Times New Roman" w:cs="Times New Roman" w:eastAsia="Times New Roman" w:hAnsi="Times New Roman"/>
          <w:i/>
          <w:iCs/>
          <w:sz w:val="22"/>
          <w:szCs w:val="22"/>
        </w:rPr>
        <w:t xml:space="preserve">Paper Abstract, Outline &amp; Dataset Guide (RBL research component)</w:t>
      </w:r>
    </w:p>
    <w:p>
      <w:pPr>
        <w:spacing w:after="160"/>
        <w:jc w:val="center"/>
      </w:pPr>
      <w:r>
        <w:rPr>
          <w:rFonts w:ascii="Times New Roman" w:cs="Times New Roman" w:eastAsia="Times New Roman" w:hAnsi="Times New Roman"/>
          <w:i/>
          <w:iCs/>
          <w:color w:val="666666"/>
          <w:sz w:val="20"/>
          <w:szCs w:val="20"/>
        </w:rPr>
        <w:t xml:space="preserve">Companion to the AlgoVenture capstone — a starting scaffold for the team to extend.</w:t>
      </w:r>
    </w:p>
    <w:p>
      <w:pPr>
        <w:spacing w:after="80" w:before="180"/>
      </w:pPr>
      <w:r>
        <w:rPr>
          <w:rFonts w:ascii="Times New Roman" w:cs="Times New Roman" w:eastAsia="Times New Roman" w:hAnsi="Times New Roman"/>
          <w:b/>
          <w:bCs/>
          <w:sz w:val="26"/>
          <w:szCs w:val="26"/>
        </w:rPr>
        <w:t xml:space="preserve">1. Paper Title</w:t>
      </w:r>
    </w:p>
    <w:p>
      <w:pPr>
        <w:pStyle w:val="ListParagraph"/>
        <w:numPr>
          <w:ilvl w:val="0"/>
          <w:numId w:val="2"/>
        </w:numPr>
        <w:spacing w:after="40"/>
        <w:jc w:val="both"/>
      </w:pPr>
      <w:r>
        <w:rPr>
          <w:rFonts w:ascii="Times New Roman" w:cs="Times New Roman" w:eastAsia="Times New Roman" w:hAnsi="Times New Roman"/>
          <w:b/>
          <w:bCs/>
          <w:sz w:val="22"/>
          <w:szCs w:val="22"/>
        </w:rPr>
        <w:t xml:space="preserve">English: </w:t>
      </w:r>
      <w:r>
        <w:rPr>
          <w:rFonts w:ascii="Times New Roman" w:cs="Times New Roman" w:eastAsia="Times New Roman" w:hAnsi="Times New Roman"/>
          <w:sz w:val="22"/>
          <w:szCs w:val="22"/>
        </w:rPr>
        <w:t xml:space="preserve">Beyond AUC: Do Better Knowledge-Tracing Models Make Better Tutors? Evaluating Prediction vs. Exercise-Sequencing Utility across Math and Programming</w:t>
      </w:r>
    </w:p>
    <w:p>
      <w:pPr>
        <w:pStyle w:val="ListParagraph"/>
        <w:numPr>
          <w:ilvl w:val="0"/>
          <w:numId w:val="2"/>
        </w:numPr>
        <w:spacing w:after="40"/>
        <w:jc w:val="both"/>
      </w:pPr>
      <w:r>
        <w:rPr>
          <w:rFonts w:ascii="Times New Roman" w:cs="Times New Roman" w:eastAsia="Times New Roman" w:hAnsi="Times New Roman"/>
          <w:b/>
          <w:bCs/>
          <w:sz w:val="22"/>
          <w:szCs w:val="22"/>
        </w:rPr>
        <w:t xml:space="preserve">Vietnamese: </w:t>
      </w:r>
      <w:r>
        <w:rPr>
          <w:rFonts w:ascii="Times New Roman" w:cs="Times New Roman" w:eastAsia="Times New Roman" w:hAnsi="Times New Roman"/>
          <w:sz w:val="22"/>
          <w:szCs w:val="22"/>
        </w:rPr>
        <w:t xml:space="preserve">Vượt ra ngoài AUC: Mô hình theo vết tri thức tốt hơn có tạo ra gia sư tốt hơn? Đánh giá độ chính xác dự báo so với tính hữu ích khi gợi ý bài tập trên miền toán và lập trình</w:t>
      </w:r>
    </w:p>
    <w:p>
      <w:pPr>
        <w:pStyle w:val="ListParagraph"/>
        <w:numPr>
          <w:ilvl w:val="0"/>
          <w:numId w:val="2"/>
        </w:numPr>
        <w:spacing w:after="40"/>
        <w:jc w:val="both"/>
      </w:pPr>
      <w:r>
        <w:rPr>
          <w:rFonts w:ascii="Times New Roman" w:cs="Times New Roman" w:eastAsia="Times New Roman" w:hAnsi="Times New Roman"/>
          <w:b/>
          <w:bCs/>
          <w:sz w:val="22"/>
          <w:szCs w:val="22"/>
        </w:rPr>
        <w:t xml:space="preserve">Target venue: </w:t>
      </w:r>
      <w:r>
        <w:rPr>
          <w:rFonts w:ascii="Times New Roman" w:cs="Times New Roman" w:eastAsia="Times New Roman" w:hAnsi="Times New Roman"/>
          <w:sz w:val="22"/>
          <w:szCs w:val="22"/>
        </w:rPr>
        <w:t xml:space="preserve">ICIIT 2027 (12th Int. Conf. on Intelligent Information Technology, FPT University HCMC, Mar 2027) — ACM proceedings, indexed by Scopus / Ei Compendex. Upgrade path: Journal of Advances in Information Technology (Scopus).</w:t>
      </w:r>
    </w:p>
    <w:p>
      <w:pPr>
        <w:spacing w:after="80" w:before="180"/>
      </w:pPr>
      <w:r>
        <w:rPr>
          <w:rFonts w:ascii="Times New Roman" w:cs="Times New Roman" w:eastAsia="Times New Roman" w:hAnsi="Times New Roman"/>
          <w:b/>
          <w:bCs/>
          <w:sz w:val="26"/>
          <w:szCs w:val="26"/>
        </w:rPr>
        <w:t xml:space="preserve">2. Abstract</w:t>
      </w:r>
    </w:p>
    <w:p>
      <w:pPr>
        <w:spacing w:after="80"/>
        <w:jc w:val="both"/>
      </w:pPr>
      <w:r>
        <w:rPr>
          <w:rFonts w:ascii="Times New Roman" w:cs="Times New Roman" w:eastAsia="Times New Roman" w:hAnsi="Times New Roman"/>
          <w:sz w:val="22"/>
          <w:szCs w:val="22"/>
        </w:rPr>
        <w:t xml:space="preserve">Knowledge tracing (KT) underpins the adaptive engines of intelligent tutoring systems, yet models are almost universally ranked by next-step prediction accuracy (AUC/RMSE). Whether such accuracy gains translate into better instructional decisions — which exercise to present next — remains poorly understood, and recent benchmarks show that reported KT accuracy is highly sensitive to preprocessing and can be inflated by label leakage. This paper empirically decouples predictive accuracy from downstream sequencing utility. Using the standardized pyKT and EduData pipelines, we evaluate a representative set of KT models (BKT, DKT, DKVMN, SAKT, AKT) on fully public benchmarks spanning mathematics (ASSISTments2009, Junyi Academy) and programming (Peking Online Judge). For each model we (i) measure prediction quality and (ii) use the model as a student simulator to score simple next-exercise sequencing policies, then analyse the correlation between the two, with robustness checks that acknowledge known limitations of simulator-based evaluation. Our results characterise when — and in which domain — a more accurate KT model actually yields a materially better tutor, offering practical guidance for adaptive-learning engines and a reusable, fully reproducible evaluation protocol.</w:t>
      </w:r>
    </w:p>
    <w:p>
      <w:pPr>
        <w:spacing w:after="8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knowledge tracing; adaptive learning; intelligent tutoring systems; instructional sequencing; educational data mining; reproducibility.</w:t>
      </w:r>
    </w:p>
    <w:p>
      <w:pPr>
        <w:spacing w:after="80" w:before="180"/>
      </w:pPr>
      <w:r>
        <w:rPr>
          <w:rFonts w:ascii="Times New Roman" w:cs="Times New Roman" w:eastAsia="Times New Roman" w:hAnsi="Times New Roman"/>
          <w:b/>
          <w:bCs/>
          <w:sz w:val="26"/>
          <w:szCs w:val="26"/>
        </w:rPr>
        <w:t xml:space="preserve">3. Research Questions &amp; Contributions</w:t>
      </w:r>
    </w:p>
    <w:p>
      <w:pPr>
        <w:spacing w:after="50" w:before="120"/>
      </w:pPr>
      <w:r>
        <w:rPr>
          <w:rFonts w:ascii="Times New Roman" w:cs="Times New Roman" w:eastAsia="Times New Roman" w:hAnsi="Times New Roman"/>
          <w:b/>
          <w:bCs/>
          <w:sz w:val="22"/>
          <w:szCs w:val="22"/>
        </w:rPr>
        <w:t xml:space="preserve">Research questions</w:t>
      </w:r>
    </w:p>
    <w:p>
      <w:pPr>
        <w:pStyle w:val="ListParagraph"/>
        <w:numPr>
          <w:ilvl w:val="0"/>
          <w:numId w:val="2"/>
        </w:numPr>
        <w:spacing w:after="40"/>
        <w:jc w:val="both"/>
      </w:pPr>
      <w:r>
        <w:rPr>
          <w:rFonts w:ascii="Times New Roman" w:cs="Times New Roman" w:eastAsia="Times New Roman" w:hAnsi="Times New Roman"/>
          <w:b/>
          <w:bCs/>
          <w:sz w:val="22"/>
          <w:szCs w:val="22"/>
        </w:rPr>
        <w:t xml:space="preserve">RQ1: </w:t>
      </w:r>
      <w:r>
        <w:rPr>
          <w:rFonts w:ascii="Times New Roman" w:cs="Times New Roman" w:eastAsia="Times New Roman" w:hAnsi="Times New Roman"/>
          <w:sz w:val="22"/>
          <w:szCs w:val="22"/>
        </w:rPr>
        <w:t xml:space="preserve">How much does next-step prediction accuracy (AUC/RMSE) vary across KT models under a standardized, leakage-controlled protocol?</w:t>
      </w:r>
    </w:p>
    <w:p>
      <w:pPr>
        <w:pStyle w:val="ListParagraph"/>
        <w:numPr>
          <w:ilvl w:val="0"/>
          <w:numId w:val="2"/>
        </w:numPr>
        <w:spacing w:after="40"/>
        <w:jc w:val="both"/>
      </w:pPr>
      <w:r>
        <w:rPr>
          <w:rFonts w:ascii="Times New Roman" w:cs="Times New Roman" w:eastAsia="Times New Roman" w:hAnsi="Times New Roman"/>
          <w:b/>
          <w:bCs/>
          <w:sz w:val="22"/>
          <w:szCs w:val="22"/>
        </w:rPr>
        <w:t xml:space="preserve">RQ2: </w:t>
      </w:r>
      <w:r>
        <w:rPr>
          <w:rFonts w:ascii="Times New Roman" w:cs="Times New Roman" w:eastAsia="Times New Roman" w:hAnsi="Times New Roman"/>
          <w:sz w:val="22"/>
          <w:szCs w:val="22"/>
        </w:rPr>
        <w:t xml:space="preserve">Does higher predictive accuracy translate into better next-exercise sequencing utility (via simulator-based offline evaluation)?</w:t>
      </w:r>
    </w:p>
    <w:p>
      <w:pPr>
        <w:pStyle w:val="ListParagraph"/>
        <w:numPr>
          <w:ilvl w:val="0"/>
          <w:numId w:val="2"/>
        </w:numPr>
        <w:spacing w:after="40"/>
        <w:jc w:val="both"/>
      </w:pPr>
      <w:r>
        <w:rPr>
          <w:rFonts w:ascii="Times New Roman" w:cs="Times New Roman" w:eastAsia="Times New Roman" w:hAnsi="Times New Roman"/>
          <w:b/>
          <w:bCs/>
          <w:sz w:val="22"/>
          <w:szCs w:val="22"/>
        </w:rPr>
        <w:t xml:space="preserve">RQ3: </w:t>
      </w:r>
      <w:r>
        <w:rPr>
          <w:rFonts w:ascii="Times New Roman" w:cs="Times New Roman" w:eastAsia="Times New Roman" w:hAnsi="Times New Roman"/>
          <w:sz w:val="22"/>
          <w:szCs w:val="22"/>
        </w:rPr>
        <w:t xml:space="preserve">Does the accuracy–utility relationship differ between the mathematics and programming domains?</w:t>
      </w:r>
    </w:p>
    <w:p>
      <w:pPr>
        <w:spacing w:after="50" w:before="120"/>
      </w:pPr>
      <w:r>
        <w:rPr>
          <w:rFonts w:ascii="Times New Roman" w:cs="Times New Roman" w:eastAsia="Times New Roman" w:hAnsi="Times New Roman"/>
          <w:b/>
          <w:bCs/>
          <w:sz w:val="22"/>
          <w:szCs w:val="22"/>
        </w:rPr>
        <w:t xml:space="preserve">Intended contributions</w:t>
      </w:r>
    </w:p>
    <w:p>
      <w:pPr>
        <w:pStyle w:val="ListParagraph"/>
        <w:numPr>
          <w:ilvl w:val="0"/>
          <w:numId w:val="2"/>
        </w:numPr>
        <w:spacing w:after="40"/>
        <w:jc w:val="both"/>
      </w:pPr>
      <w:r>
        <w:rPr>
          <w:rFonts w:ascii="Times New Roman" w:cs="Times New Roman" w:eastAsia="Times New Roman" w:hAnsi="Times New Roman"/>
          <w:sz w:val="22"/>
          <w:szCs w:val="22"/>
        </w:rPr>
        <w:t xml:space="preserve">A reproducible, fully public protocol that measures KT models on both prediction and downstream sequencing utility.</w:t>
      </w:r>
    </w:p>
    <w:p>
      <w:pPr>
        <w:pStyle w:val="ListParagraph"/>
        <w:numPr>
          <w:ilvl w:val="0"/>
          <w:numId w:val="2"/>
        </w:numPr>
        <w:spacing w:after="40"/>
        <w:jc w:val="both"/>
      </w:pPr>
      <w:r>
        <w:rPr>
          <w:rFonts w:ascii="Times New Roman" w:cs="Times New Roman" w:eastAsia="Times New Roman" w:hAnsi="Times New Roman"/>
          <w:sz w:val="22"/>
          <w:szCs w:val="22"/>
        </w:rPr>
        <w:t xml:space="preserve">An empirical accuracy-vs-utility analysis across math and programming benchmarks.</w:t>
      </w:r>
    </w:p>
    <w:p>
      <w:pPr>
        <w:pStyle w:val="ListParagraph"/>
        <w:numPr>
          <w:ilvl w:val="0"/>
          <w:numId w:val="2"/>
        </w:numPr>
        <w:spacing w:after="40"/>
        <w:jc w:val="both"/>
      </w:pPr>
      <w:r>
        <w:rPr>
          <w:rFonts w:ascii="Times New Roman" w:cs="Times New Roman" w:eastAsia="Times New Roman" w:hAnsi="Times New Roman"/>
          <w:sz w:val="22"/>
          <w:szCs w:val="22"/>
        </w:rPr>
        <w:t xml:space="preserve">Practical guidance for choosing the KT model/policy inside an adaptive-learning engine (e.g., AlgoVenture).</w:t>
      </w:r>
    </w:p>
    <w:p>
      <w:pPr>
        <w:spacing w:after="80" w:before="180"/>
      </w:pPr>
      <w:r>
        <w:rPr>
          <w:rFonts w:ascii="Times New Roman" w:cs="Times New Roman" w:eastAsia="Times New Roman" w:hAnsi="Times New Roman"/>
          <w:b/>
          <w:bCs/>
          <w:sz w:val="26"/>
          <w:szCs w:val="26"/>
        </w:rPr>
        <w:t xml:space="preserve">4. Paper Outline (ACM / ICIIT format, ~6–8 pages)</w:t>
      </w:r>
    </w:p>
    <w:p>
      <w:pPr>
        <w:pStyle w:val="ListParagraph"/>
        <w:numPr>
          <w:ilvl w:val="0"/>
          <w:numId w:val="2"/>
        </w:numPr>
        <w:spacing w:after="40"/>
        <w:jc w:val="both"/>
      </w:pPr>
      <w:r>
        <w:rPr>
          <w:rFonts w:ascii="Times New Roman" w:cs="Times New Roman" w:eastAsia="Times New Roman" w:hAnsi="Times New Roman"/>
          <w:b/>
          <w:bCs/>
          <w:sz w:val="22"/>
          <w:szCs w:val="22"/>
        </w:rPr>
        <w:t xml:space="preserve">1. Introduction — </w:t>
      </w:r>
      <w:r>
        <w:rPr>
          <w:rFonts w:ascii="Times New Roman" w:cs="Times New Roman" w:eastAsia="Times New Roman" w:hAnsi="Times New Roman"/>
          <w:sz w:val="22"/>
          <w:szCs w:val="22"/>
        </w:rPr>
        <w:t xml:space="preserve">role of KT in ITS; the AUC-centric practice; the prediction-vs-utility gap; state the 3 contributions.</w:t>
      </w:r>
    </w:p>
    <w:p>
      <w:pPr>
        <w:pStyle w:val="ListParagraph"/>
        <w:numPr>
          <w:ilvl w:val="0"/>
          <w:numId w:val="2"/>
        </w:numPr>
        <w:spacing w:after="40"/>
        <w:jc w:val="both"/>
      </w:pPr>
      <w:r>
        <w:rPr>
          <w:rFonts w:ascii="Times New Roman" w:cs="Times New Roman" w:eastAsia="Times New Roman" w:hAnsi="Times New Roman"/>
          <w:b/>
          <w:bCs/>
          <w:sz w:val="22"/>
          <w:szCs w:val="22"/>
        </w:rPr>
        <w:t xml:space="preserve">2. Related Work — </w:t>
      </w:r>
      <w:r>
        <w:rPr>
          <w:rFonts w:ascii="Times New Roman" w:cs="Times New Roman" w:eastAsia="Times New Roman" w:hAnsi="Times New Roman"/>
          <w:sz w:val="22"/>
          <w:szCs w:val="22"/>
        </w:rPr>
        <w:t xml:space="preserve">KT models (BKT, DKT, DKVMN, SAKT, AKT); KT benchmarking &amp; reproducibility (pyKT; label-leakage issue); KT-as-simulator &amp; RL sequencing (RL-DKT, AdvKT); programming KT (POJ, Code-DKT).</w:t>
      </w:r>
    </w:p>
    <w:p>
      <w:pPr>
        <w:pStyle w:val="ListParagraph"/>
        <w:numPr>
          <w:ilvl w:val="0"/>
          <w:numId w:val="2"/>
        </w:numPr>
        <w:spacing w:after="40"/>
        <w:jc w:val="both"/>
      </w:pPr>
      <w:r>
        <w:rPr>
          <w:rFonts w:ascii="Times New Roman" w:cs="Times New Roman" w:eastAsia="Times New Roman" w:hAnsi="Times New Roman"/>
          <w:b/>
          <w:bCs/>
          <w:sz w:val="22"/>
          <w:szCs w:val="22"/>
        </w:rPr>
        <w:t xml:space="preserve">3. Problem Formulation — </w:t>
      </w:r>
      <w:r>
        <w:rPr>
          <w:rFonts w:ascii="Times New Roman" w:cs="Times New Roman" w:eastAsia="Times New Roman" w:hAnsi="Times New Roman"/>
          <w:sz w:val="22"/>
          <w:szCs w:val="22"/>
        </w:rPr>
        <w:t xml:space="preserve">define the KT prediction task; define sequencing utility via a student simulator; define the accuracy–utility correlation measure.</w:t>
      </w:r>
    </w:p>
    <w:p>
      <w:pPr>
        <w:pStyle w:val="ListParagraph"/>
        <w:numPr>
          <w:ilvl w:val="0"/>
          <w:numId w:val="2"/>
        </w:numPr>
        <w:spacing w:after="40"/>
        <w:jc w:val="both"/>
      </w:pPr>
      <w:r>
        <w:rPr>
          <w:rFonts w:ascii="Times New Roman" w:cs="Times New Roman" w:eastAsia="Times New Roman" w:hAnsi="Times New Roman"/>
          <w:b/>
          <w:bCs/>
          <w:sz w:val="22"/>
          <w:szCs w:val="22"/>
        </w:rPr>
        <w:t xml:space="preserve">4. Methodology — </w:t>
      </w:r>
      <w:r>
        <w:rPr>
          <w:rFonts w:ascii="Times New Roman" w:cs="Times New Roman" w:eastAsia="Times New Roman" w:hAnsi="Times New Roman"/>
          <w:sz w:val="22"/>
          <w:szCs w:val="22"/>
        </w:rPr>
        <w:t xml:space="preserve">datasets (all public via pyKT/EduData); models &amp; configuration; prediction metrics (AUC, RMSE); offline policy evaluation with the simulator; sequencing policies (random, mastery-threshold, greedy-expected-gain); robustness/leakage checks; statistical analysis.</w:t>
      </w:r>
    </w:p>
    <w:p>
      <w:pPr>
        <w:pStyle w:val="ListParagraph"/>
        <w:numPr>
          <w:ilvl w:val="0"/>
          <w:numId w:val="2"/>
        </w:numPr>
        <w:spacing w:after="40"/>
        <w:jc w:val="both"/>
      </w:pPr>
      <w:r>
        <w:rPr>
          <w:rFonts w:ascii="Times New Roman" w:cs="Times New Roman" w:eastAsia="Times New Roman" w:hAnsi="Times New Roman"/>
          <w:b/>
          <w:bCs/>
          <w:sz w:val="22"/>
          <w:szCs w:val="22"/>
        </w:rPr>
        <w:t xml:space="preserve">5. Experiments &amp; Results — </w:t>
      </w:r>
      <w:r>
        <w:rPr>
          <w:rFonts w:ascii="Times New Roman" w:cs="Times New Roman" w:eastAsia="Times New Roman" w:hAnsi="Times New Roman"/>
          <w:sz w:val="22"/>
          <w:szCs w:val="22"/>
        </w:rPr>
        <w:t xml:space="preserve">prediction results; sequencing-utility results; accuracy–utility correlation; cross-domain (math vs programming); ablations &amp; robustness.</w:t>
      </w:r>
    </w:p>
    <w:p>
      <w:pPr>
        <w:pStyle w:val="ListParagraph"/>
        <w:numPr>
          <w:ilvl w:val="0"/>
          <w:numId w:val="2"/>
        </w:numPr>
        <w:spacing w:after="40"/>
        <w:jc w:val="both"/>
      </w:pPr>
      <w:r>
        <w:rPr>
          <w:rFonts w:ascii="Times New Roman" w:cs="Times New Roman" w:eastAsia="Times New Roman" w:hAnsi="Times New Roman"/>
          <w:b/>
          <w:bCs/>
          <w:sz w:val="22"/>
          <w:szCs w:val="22"/>
        </w:rPr>
        <w:t xml:space="preserve">6. Discussion — </w:t>
      </w:r>
      <w:r>
        <w:rPr>
          <w:rFonts w:ascii="Times New Roman" w:cs="Times New Roman" w:eastAsia="Times New Roman" w:hAnsi="Times New Roman"/>
          <w:sz w:val="22"/>
          <w:szCs w:val="22"/>
        </w:rPr>
        <w:t xml:space="preserve">implications for adaptive engines (link to AlgoVenture); limitations (simulator reliability, coarse programming signal); threats to validity.</w:t>
      </w:r>
    </w:p>
    <w:p>
      <w:pPr>
        <w:pStyle w:val="ListParagraph"/>
        <w:numPr>
          <w:ilvl w:val="0"/>
          <w:numId w:val="2"/>
        </w:numPr>
        <w:spacing w:after="40"/>
        <w:jc w:val="both"/>
      </w:pPr>
      <w:r>
        <w:rPr>
          <w:rFonts w:ascii="Times New Roman" w:cs="Times New Roman" w:eastAsia="Times New Roman" w:hAnsi="Times New Roman"/>
          <w:b/>
          <w:bCs/>
          <w:sz w:val="22"/>
          <w:szCs w:val="22"/>
        </w:rPr>
        <w:t xml:space="preserve">7. Conclusion &amp; Future Work — </w:t>
      </w:r>
      <w:r>
        <w:rPr>
          <w:rFonts w:ascii="Times New Roman" w:cs="Times New Roman" w:eastAsia="Times New Roman" w:hAnsi="Times New Roman"/>
          <w:sz w:val="22"/>
          <w:szCs w:val="22"/>
        </w:rPr>
        <w:t xml:space="preserve">summary; extensions (richer code-structure datasets once access is granted; more policies/models).</w:t>
      </w:r>
    </w:p>
    <w:p>
      <w:pPr>
        <w:spacing w:after="80" w:before="180"/>
      </w:pPr>
      <w:r>
        <w:rPr>
          <w:rFonts w:ascii="Times New Roman" w:cs="Times New Roman" w:eastAsia="Times New Roman" w:hAnsi="Times New Roman"/>
          <w:b/>
          <w:bCs/>
          <w:sz w:val="26"/>
          <w:szCs w:val="26"/>
        </w:rPr>
        <w:t xml:space="preserve">5. Datasets &amp; Access</w:t>
      </w:r>
    </w:p>
    <w:p>
      <w:pPr>
        <w:spacing w:after="80"/>
        <w:jc w:val="both"/>
      </w:pPr>
      <w:r>
        <w:rPr>
          <w:rFonts w:ascii="Times New Roman" w:cs="Times New Roman" w:eastAsia="Times New Roman" w:hAnsi="Times New Roman"/>
          <w:sz w:val="22"/>
          <w:szCs w:val="22"/>
        </w:rPr>
        <w:t xml:space="preserve">Use only frictionless, directly downloadable datasets as the core (green). Gated or flaky sources (red) are kept optional — do NOT make the project depend on author approval. Verify each link before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350"/>
        <w:gridCol w:w="2450"/>
        <w:gridCol w:w="2050"/>
        <w:gridCol w:w="1660"/>
      </w:tblGrid>
      <w:tr>
        <w:tc>
          <w:tcPr>
            <w:tcW w:type="dxa" w:w="185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Dataset</w:t>
            </w:r>
          </w:p>
        </w:tc>
        <w:tc>
          <w:tcPr>
            <w:tcW w:type="dxa" w:w="135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Domain</w:t>
            </w:r>
          </w:p>
        </w:tc>
        <w:tc>
          <w:tcPr>
            <w:tcW w:type="dxa" w:w="245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Scale (approx.)</w:t>
            </w:r>
          </w:p>
        </w:tc>
        <w:tc>
          <w:tcPr>
            <w:tcW w:type="dxa" w:w="205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How to get</w:t>
            </w:r>
          </w:p>
        </w:tc>
        <w:tc>
          <w:tcPr>
            <w:tcW w:type="dxa" w:w="1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sz w:val="22"/>
                <w:szCs w:val="22"/>
              </w:rPr>
              <w:t xml:space="preserve">Access status</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ASSISTments2009</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Math</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~4.2k students, ~338k responses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EduData / pyKT</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1F7A1F"/>
                <w:sz w:val="22"/>
                <w:szCs w:val="22"/>
              </w:rPr>
              <w:t xml:space="preserve">Open, direct</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Junyi Academy</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Math</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~10k students, ~1M responses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Kaggle / EduData / DataShop #1198</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1F7A1F"/>
                <w:sz w:val="22"/>
                <w:szCs w:val="22"/>
              </w:rPr>
              <w:t xml:space="preserve">Open, direct</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POJ (Peking Online Judge)</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Programming</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coding-practice response logs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pyKT</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1F7A1F"/>
                <w:sz w:val="22"/>
                <w:szCs w:val="22"/>
              </w:rPr>
              <w:t xml:space="preserve">Open, direct</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ASSISTments2017</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Math</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~1.7k students, ~943k interactions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EduData / pyKT</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1F7A1F"/>
                <w:sz w:val="22"/>
                <w:szCs w:val="22"/>
              </w:rPr>
              <w:t xml:space="preserve">Open (optional)</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EdNet-KT1</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English/TOEIC</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784k students, ~95M logs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GitHub riiid/ednet / Kaggle</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1F7A1F"/>
                <w:sz w:val="22"/>
                <w:szCs w:val="22"/>
              </w:rPr>
              <w:t xml:space="preserve">Open, very large (optional)</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CodeWorkout (CSEDM)</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Programming (Java)</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~800 students, 65k+ submissions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PSLC DataShop #3458</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B00000"/>
                <w:sz w:val="22"/>
                <w:szCs w:val="22"/>
              </w:rPr>
              <w:t xml:space="preserve">Gated / flaky — avoid as dependency</w:t>
            </w:r>
          </w:p>
        </w:tc>
      </w:tr>
      <w:tr>
        <w:tc>
          <w:tcPr>
            <w:tcW w:type="dxa" w:w="18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FalconCode</w:t>
            </w:r>
          </w:p>
        </w:tc>
        <w:tc>
          <w:tcPr>
            <w:tcW w:type="dxa" w:w="13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Programming (Python)</w:t>
            </w:r>
          </w:p>
        </w:tc>
        <w:tc>
          <w:tcPr>
            <w:tcW w:type="dxa" w:w="24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1M–10M rows</w:t>
            </w:r>
          </w:p>
        </w:tc>
        <w:tc>
          <w:tcPr>
            <w:tcW w:type="dxa" w:w="205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sz w:val="22"/>
                <w:szCs w:val="22"/>
              </w:rPr>
              <w:t xml:space="preserve">HuggingFace (gated)</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pPr>
            <w:r>
              <w:rPr>
                <w:rFonts w:ascii="Times New Roman" w:cs="Times New Roman" w:eastAsia="Times New Roman" w:hAnsi="Times New Roman"/>
                <w:b/>
                <w:bCs/>
                <w:color w:val="B00000"/>
                <w:sz w:val="22"/>
                <w:szCs w:val="22"/>
              </w:rPr>
              <w:t xml:space="preserve">Needs author approval — avoid</w:t>
            </w:r>
          </w:p>
        </w:tc>
      </w:tr>
    </w:tbl>
    <w:p>
      <w:pPr>
        <w:spacing w:before="40"/>
      </w:pPr>
    </w:p>
    <w:p>
      <w:pPr>
        <w:spacing w:after="50" w:before="120"/>
      </w:pPr>
      <w:r>
        <w:rPr>
          <w:rFonts w:ascii="Times New Roman" w:cs="Times New Roman" w:eastAsia="Times New Roman" w:hAnsi="Times New Roman"/>
          <w:b/>
          <w:bCs/>
          <w:sz w:val="22"/>
          <w:szCs w:val="22"/>
        </w:rPr>
        <w:t xml:space="preserve">Tools that remove the access friction</w:t>
      </w:r>
    </w:p>
    <w:p>
      <w:pPr>
        <w:pStyle w:val="ListParagraph"/>
        <w:numPr>
          <w:ilvl w:val="0"/>
          <w:numId w:val="2"/>
        </w:numPr>
        <w:spacing w:after="40"/>
        <w:jc w:val="both"/>
      </w:pPr>
      <w:r>
        <w:rPr>
          <w:rFonts w:ascii="Times New Roman" w:cs="Times New Roman" w:eastAsia="Times New Roman" w:hAnsi="Times New Roman"/>
          <w:b/>
          <w:bCs/>
          <w:sz w:val="22"/>
          <w:szCs w:val="22"/>
        </w:rPr>
        <w:t xml:space="preserve">pyKT </w:t>
      </w:r>
      <w:r>
        <w:rPr>
          <w:rFonts w:ascii="Times New Roman" w:cs="Times New Roman" w:eastAsia="Times New Roman" w:hAnsi="Times New Roman"/>
          <w:sz w:val="22"/>
          <w:szCs w:val="22"/>
        </w:rPr>
        <w:t xml:space="preserve">(pip install -U pykt-toolkit): NeurIPS-2022 benchmark library; standardized preprocessing for 7+ datasets (incl. POJ programming) and 10+ KT models — the recommended backbone.</w:t>
      </w:r>
    </w:p>
    <w:p>
      <w:pPr>
        <w:pStyle w:val="ListParagraph"/>
        <w:numPr>
          <w:ilvl w:val="0"/>
          <w:numId w:val="2"/>
        </w:numPr>
        <w:spacing w:after="40"/>
        <w:jc w:val="both"/>
      </w:pPr>
      <w:r>
        <w:rPr>
          <w:rFonts w:ascii="Times New Roman" w:cs="Times New Roman" w:eastAsia="Times New Roman" w:hAnsi="Times New Roman"/>
          <w:b/>
          <w:bCs/>
          <w:sz w:val="22"/>
          <w:szCs w:val="22"/>
        </w:rPr>
        <w:t xml:space="preserve">EduData </w:t>
      </w:r>
      <w:r>
        <w:rPr>
          <w:rFonts w:ascii="Times New Roman" w:cs="Times New Roman" w:eastAsia="Times New Roman" w:hAnsi="Times New Roman"/>
          <w:sz w:val="22"/>
          <w:szCs w:val="22"/>
        </w:rPr>
        <w:t xml:space="preserve">(pip install EduData): CLI auto-downloader — 'edudata ls' to list, 'edudata download assistment-2009-2010-skill' / 'edudata download junyi'.</w:t>
      </w:r>
    </w:p>
    <w:p>
      <w:pPr>
        <w:pStyle w:val="ListParagraph"/>
        <w:numPr>
          <w:ilvl w:val="0"/>
          <w:numId w:val="2"/>
        </w:numPr>
        <w:spacing w:after="40"/>
        <w:jc w:val="both"/>
      </w:pPr>
      <w:r>
        <w:rPr>
          <w:rFonts w:ascii="Times New Roman" w:cs="Times New Roman" w:eastAsia="Times New Roman" w:hAnsi="Times New Roman"/>
          <w:b/>
          <w:bCs/>
          <w:sz w:val="22"/>
          <w:szCs w:val="22"/>
        </w:rPr>
        <w:t xml:space="preserve">Kaggle: </w:t>
      </w:r>
      <w:r>
        <w:rPr>
          <w:rFonts w:ascii="Times New Roman" w:cs="Times New Roman" w:eastAsia="Times New Roman" w:hAnsi="Times New Roman"/>
          <w:sz w:val="22"/>
          <w:szCs w:val="22"/>
        </w:rPr>
        <w:t xml:space="preserve">Junyi Academy and Riiid/EdNet mirrors — free with a Kaggle account, no author approval.</w:t>
      </w:r>
    </w:p>
    <w:p>
      <w:pPr>
        <w:pStyle w:val="ListParagraph"/>
        <w:numPr>
          <w:ilvl w:val="0"/>
          <w:numId w:val="2"/>
        </w:numPr>
        <w:spacing w:after="40"/>
        <w:jc w:val="both"/>
      </w:pPr>
      <w:r>
        <w:rPr>
          <w:rFonts w:ascii="Times New Roman" w:cs="Times New Roman" w:eastAsia="Times New Roman" w:hAnsi="Times New Roman"/>
          <w:b/>
          <w:bCs/>
          <w:sz w:val="22"/>
          <w:szCs w:val="22"/>
        </w:rPr>
        <w:t xml:space="preserve">Avoid as a hard dependency: </w:t>
      </w:r>
      <w:r>
        <w:rPr>
          <w:rFonts w:ascii="Times New Roman" w:cs="Times New Roman" w:eastAsia="Times New Roman" w:hAnsi="Times New Roman"/>
          <w:sz w:val="22"/>
          <w:szCs w:val="22"/>
        </w:rPr>
        <w:t xml:space="preserve">CodeWorkout (PSLC DataShop #3458 — account + possible PI approval, site often unresponsive) and FalconCode (HuggingFace gated — request awaits author review). Treat both as optional bonuses only.</w:t>
      </w:r>
    </w:p>
    <w:p>
      <w:pPr>
        <w:spacing w:after="80" w:before="180"/>
      </w:pPr>
      <w:r>
        <w:rPr>
          <w:rFonts w:ascii="Times New Roman" w:cs="Times New Roman" w:eastAsia="Times New Roman" w:hAnsi="Times New Roman"/>
          <w:b/>
          <w:bCs/>
          <w:sz w:val="26"/>
          <w:szCs w:val="26"/>
        </w:rPr>
        <w:t xml:space="preserve">6. Baseline Models</w:t>
      </w:r>
    </w:p>
    <w:p>
      <w:pPr>
        <w:pStyle w:val="ListParagraph"/>
        <w:numPr>
          <w:ilvl w:val="0"/>
          <w:numId w:val="2"/>
        </w:numPr>
        <w:spacing w:after="40"/>
        <w:jc w:val="both"/>
      </w:pPr>
      <w:r>
        <w:rPr>
          <w:rFonts w:ascii="Times New Roman" w:cs="Times New Roman" w:eastAsia="Times New Roman" w:hAnsi="Times New Roman"/>
          <w:b/>
          <w:bCs/>
          <w:sz w:val="22"/>
          <w:szCs w:val="22"/>
        </w:rPr>
        <w:t xml:space="preserve">Classic: </w:t>
      </w:r>
      <w:r>
        <w:rPr>
          <w:rFonts w:ascii="Times New Roman" w:cs="Times New Roman" w:eastAsia="Times New Roman" w:hAnsi="Times New Roman"/>
          <w:sz w:val="22"/>
          <w:szCs w:val="22"/>
        </w:rPr>
        <w:t xml:space="preserve">Bayesian Knowledge Tracing (BKT).</w:t>
      </w:r>
    </w:p>
    <w:p>
      <w:pPr>
        <w:pStyle w:val="ListParagraph"/>
        <w:numPr>
          <w:ilvl w:val="0"/>
          <w:numId w:val="2"/>
        </w:numPr>
        <w:spacing w:after="40"/>
        <w:jc w:val="both"/>
      </w:pPr>
      <w:r>
        <w:rPr>
          <w:rFonts w:ascii="Times New Roman" w:cs="Times New Roman" w:eastAsia="Times New Roman" w:hAnsi="Times New Roman"/>
          <w:b/>
          <w:bCs/>
          <w:sz w:val="22"/>
          <w:szCs w:val="22"/>
        </w:rPr>
        <w:t xml:space="preserve">Deep: </w:t>
      </w:r>
      <w:r>
        <w:rPr>
          <w:rFonts w:ascii="Times New Roman" w:cs="Times New Roman" w:eastAsia="Times New Roman" w:hAnsi="Times New Roman"/>
          <w:sz w:val="22"/>
          <w:szCs w:val="22"/>
        </w:rPr>
        <w:t xml:space="preserve">DKT (LSTM), DKVMN (memory network), SAKT &amp; AKT (attention-based); optionally simpleKT as a strong simple baseline.</w:t>
      </w:r>
    </w:p>
    <w:p>
      <w:pPr>
        <w:pStyle w:val="ListParagraph"/>
        <w:numPr>
          <w:ilvl w:val="0"/>
          <w:numId w:val="2"/>
        </w:numPr>
        <w:spacing w:after="40"/>
        <w:jc w:val="both"/>
      </w:pPr>
      <w:r>
        <w:rPr>
          <w:rFonts w:ascii="Times New Roman" w:cs="Times New Roman" w:eastAsia="Times New Roman" w:hAnsi="Times New Roman"/>
          <w:b/>
          <w:bCs/>
          <w:sz w:val="22"/>
          <w:szCs w:val="22"/>
        </w:rPr>
        <w:t xml:space="preserve">Implementation: </w:t>
      </w:r>
      <w:r>
        <w:rPr>
          <w:rFonts w:ascii="Times New Roman" w:cs="Times New Roman" w:eastAsia="Times New Roman" w:hAnsi="Times New Roman"/>
          <w:sz w:val="22"/>
          <w:szCs w:val="22"/>
        </w:rPr>
        <w:t xml:space="preserve">prefer pyKT's built-in model implementations for a fair, standardized comparison; Python + PyTorch.</w:t>
      </w:r>
    </w:p>
    <w:p>
      <w:pPr>
        <w:spacing w:after="80" w:before="180"/>
      </w:pPr>
      <w:r>
        <w:rPr>
          <w:rFonts w:ascii="Times New Roman" w:cs="Times New Roman" w:eastAsia="Times New Roman" w:hAnsi="Times New Roman"/>
          <w:b/>
          <w:bCs/>
          <w:sz w:val="26"/>
          <w:szCs w:val="26"/>
        </w:rPr>
        <w:t xml:space="preserve">7. Evaluation Plan</w:t>
      </w:r>
    </w:p>
    <w:p>
      <w:pPr>
        <w:pStyle w:val="ListParagraph"/>
        <w:numPr>
          <w:ilvl w:val="0"/>
          <w:numId w:val="2"/>
        </w:numPr>
        <w:spacing w:after="40"/>
        <w:jc w:val="both"/>
      </w:pPr>
      <w:r>
        <w:rPr>
          <w:rFonts w:ascii="Times New Roman" w:cs="Times New Roman" w:eastAsia="Times New Roman" w:hAnsi="Times New Roman"/>
          <w:b/>
          <w:bCs/>
          <w:sz w:val="22"/>
          <w:szCs w:val="22"/>
        </w:rPr>
        <w:t xml:space="preserve">Prediction: </w:t>
      </w:r>
      <w:r>
        <w:rPr>
          <w:rFonts w:ascii="Times New Roman" w:cs="Times New Roman" w:eastAsia="Times New Roman" w:hAnsi="Times New Roman"/>
          <w:sz w:val="22"/>
          <w:szCs w:val="22"/>
        </w:rPr>
        <w:t xml:space="preserve">AUC, RMSE, ACC under student-level cross-validation and the pyKT standardized split.</w:t>
      </w:r>
    </w:p>
    <w:p>
      <w:pPr>
        <w:pStyle w:val="ListParagraph"/>
        <w:numPr>
          <w:ilvl w:val="0"/>
          <w:numId w:val="2"/>
        </w:numPr>
        <w:spacing w:after="40"/>
        <w:jc w:val="both"/>
      </w:pPr>
      <w:r>
        <w:rPr>
          <w:rFonts w:ascii="Times New Roman" w:cs="Times New Roman" w:eastAsia="Times New Roman" w:hAnsi="Times New Roman"/>
          <w:b/>
          <w:bCs/>
          <w:sz w:val="22"/>
          <w:szCs w:val="22"/>
        </w:rPr>
        <w:t xml:space="preserve">Sequencing utility: </w:t>
      </w:r>
      <w:r>
        <w:rPr>
          <w:rFonts w:ascii="Times New Roman" w:cs="Times New Roman" w:eastAsia="Times New Roman" w:hAnsi="Times New Roman"/>
          <w:sz w:val="22"/>
          <w:szCs w:val="22"/>
        </w:rPr>
        <w:t xml:space="preserve">use each trained KT model as a student simulator; evaluate next-exercise policies by estimated learning gain; compute the accuracy–utility correlation across models.</w:t>
      </w:r>
    </w:p>
    <w:p>
      <w:pPr>
        <w:pStyle w:val="ListParagraph"/>
        <w:numPr>
          <w:ilvl w:val="0"/>
          <w:numId w:val="2"/>
        </w:numPr>
        <w:spacing w:after="40"/>
        <w:jc w:val="both"/>
      </w:pPr>
      <w:r>
        <w:rPr>
          <w:rFonts w:ascii="Times New Roman" w:cs="Times New Roman" w:eastAsia="Times New Roman" w:hAnsi="Times New Roman"/>
          <w:b/>
          <w:bCs/>
          <w:sz w:val="22"/>
          <w:szCs w:val="22"/>
        </w:rPr>
        <w:t xml:space="preserve">Generalisation: </w:t>
      </w:r>
      <w:r>
        <w:rPr>
          <w:rFonts w:ascii="Times New Roman" w:cs="Times New Roman" w:eastAsia="Times New Roman" w:hAnsi="Times New Roman"/>
          <w:sz w:val="22"/>
          <w:szCs w:val="22"/>
        </w:rPr>
        <w:t xml:space="preserve">compare the accuracy–utility pattern across the math datasets and POJ (programming).</w:t>
      </w:r>
    </w:p>
    <w:p>
      <w:pPr>
        <w:pStyle w:val="ListParagraph"/>
        <w:numPr>
          <w:ilvl w:val="0"/>
          <w:numId w:val="2"/>
        </w:numPr>
        <w:spacing w:after="40"/>
        <w:jc w:val="both"/>
      </w:pPr>
      <w:r>
        <w:rPr>
          <w:rFonts w:ascii="Times New Roman" w:cs="Times New Roman" w:eastAsia="Times New Roman" w:hAnsi="Times New Roman"/>
          <w:b/>
          <w:bCs/>
          <w:sz w:val="22"/>
          <w:szCs w:val="22"/>
        </w:rPr>
        <w:t xml:space="preserve">Rigour: </w:t>
      </w:r>
      <w:r>
        <w:rPr>
          <w:rFonts w:ascii="Times New Roman" w:cs="Times New Roman" w:eastAsia="Times New Roman" w:hAnsi="Times New Roman"/>
          <w:sz w:val="22"/>
          <w:szCs w:val="22"/>
        </w:rPr>
        <w:t xml:space="preserve">report statistical significance and effect sizes; include leakage/robustness checks; release code + configs for reproducibility.</w:t>
      </w:r>
    </w:p>
    <w:p>
      <w:pPr>
        <w:spacing w:after="80" w:before="180"/>
      </w:pPr>
      <w:r>
        <w:rPr>
          <w:rFonts w:ascii="Times New Roman" w:cs="Times New Roman" w:eastAsia="Times New Roman" w:hAnsi="Times New Roman"/>
          <w:b/>
          <w:bCs/>
          <w:sz w:val="26"/>
          <w:szCs w:val="26"/>
        </w:rPr>
        <w:t xml:space="preserve">8. Honest Notes, Risks &amp; Scope</w:t>
      </w:r>
    </w:p>
    <w:p>
      <w:pPr>
        <w:pStyle w:val="ListParagraph"/>
        <w:numPr>
          <w:ilvl w:val="0"/>
          <w:numId w:val="2"/>
        </w:numPr>
        <w:spacing w:after="40"/>
        <w:jc w:val="both"/>
      </w:pPr>
      <w:r>
        <w:rPr>
          <w:rFonts w:ascii="Times New Roman" w:cs="Times New Roman" w:eastAsia="Times New Roman" w:hAnsi="Times New Roman"/>
          <w:b/>
          <w:bCs/>
          <w:sz w:val="22"/>
          <w:szCs w:val="22"/>
        </w:rPr>
        <w:t xml:space="preserve">Positioning: </w:t>
      </w:r>
      <w:r>
        <w:rPr>
          <w:rFonts w:ascii="Times New Roman" w:cs="Times New Roman" w:eastAsia="Times New Roman" w:hAnsi="Times New Roman"/>
          <w:sz w:val="22"/>
          <w:szCs w:val="22"/>
        </w:rPr>
        <w:t xml:space="preserve">this is an evaluation/analysis paper — it does NOT need to beat state-of-the-art. A negative result (accuracy does not predict utility) is still a publishable finding.</w:t>
      </w:r>
    </w:p>
    <w:p>
      <w:pPr>
        <w:pStyle w:val="ListParagraph"/>
        <w:numPr>
          <w:ilvl w:val="0"/>
          <w:numId w:val="2"/>
        </w:numPr>
        <w:spacing w:after="40"/>
        <w:jc w:val="both"/>
      </w:pPr>
      <w:r>
        <w:rPr>
          <w:rFonts w:ascii="Times New Roman" w:cs="Times New Roman" w:eastAsia="Times New Roman" w:hAnsi="Times New Roman"/>
          <w:b/>
          <w:bCs/>
          <w:sz w:val="22"/>
          <w:szCs w:val="22"/>
        </w:rPr>
        <w:t xml:space="preserve">Key risk: </w:t>
      </w:r>
      <w:r>
        <w:rPr>
          <w:rFonts w:ascii="Times New Roman" w:cs="Times New Roman" w:eastAsia="Times New Roman" w:hAnsi="Times New Roman"/>
          <w:sz w:val="22"/>
          <w:szCs w:val="22"/>
        </w:rPr>
        <w:t xml:space="preserve">simulator-based utility evaluation has known limitations (single-step training vs multi-step inference, cf. AdvKT). Declare this openly and add robustness checks, or reviewers will flag it.</w:t>
      </w:r>
    </w:p>
    <w:p>
      <w:pPr>
        <w:pStyle w:val="ListParagraph"/>
        <w:numPr>
          <w:ilvl w:val="0"/>
          <w:numId w:val="2"/>
        </w:numPr>
        <w:spacing w:after="40"/>
        <w:jc w:val="both"/>
      </w:pPr>
      <w:r>
        <w:rPr>
          <w:rFonts w:ascii="Times New Roman" w:cs="Times New Roman" w:eastAsia="Times New Roman" w:hAnsi="Times New Roman"/>
          <w:b/>
          <w:bCs/>
          <w:sz w:val="22"/>
          <w:szCs w:val="22"/>
        </w:rPr>
        <w:t xml:space="preserve">Data caveat: </w:t>
      </w:r>
      <w:r>
        <w:rPr>
          <w:rFonts w:ascii="Times New Roman" w:cs="Times New Roman" w:eastAsia="Times New Roman" w:hAnsi="Times New Roman"/>
          <w:sz w:val="22"/>
          <w:szCs w:val="22"/>
        </w:rPr>
        <w:t xml:space="preserve">POJ provides response-level (correct/incorrect) coding logs, not rich code structure — so a 'code-structure-aware model' angle is out of scope here and left for future work.</w:t>
      </w:r>
    </w:p>
    <w:p>
      <w:pPr>
        <w:pStyle w:val="ListParagraph"/>
        <w:numPr>
          <w:ilvl w:val="0"/>
          <w:numId w:val="2"/>
        </w:numPr>
        <w:spacing w:after="40"/>
        <w:jc w:val="both"/>
      </w:pPr>
      <w:r>
        <w:rPr>
          <w:rFonts w:ascii="Times New Roman" w:cs="Times New Roman" w:eastAsia="Times New Roman" w:hAnsi="Times New Roman"/>
          <w:b/>
          <w:bCs/>
          <w:sz w:val="22"/>
          <w:szCs w:val="22"/>
        </w:rPr>
        <w:t xml:space="preserve">Realistic target: </w:t>
      </w:r>
      <w:r>
        <w:rPr>
          <w:rFonts w:ascii="Times New Roman" w:cs="Times New Roman" w:eastAsia="Times New Roman" w:hAnsi="Times New Roman"/>
          <w:sz w:val="22"/>
          <w:szCs w:val="22"/>
        </w:rPr>
        <w:t xml:space="preserve">a solid Scopus conference (ICIIT). A strong journal would require deeper experiments and a methodological novelty beyond this scope.</w:t>
      </w:r>
    </w:p>
    <w:p>
      <w:pPr>
        <w:pStyle w:val="ListParagraph"/>
        <w:numPr>
          <w:ilvl w:val="0"/>
          <w:numId w:val="2"/>
        </w:numPr>
        <w:spacing w:after="40"/>
        <w:jc w:val="both"/>
      </w:pPr>
      <w:r>
        <w:rPr>
          <w:rFonts w:ascii="Times New Roman" w:cs="Times New Roman" w:eastAsia="Times New Roman" w:hAnsi="Times New Roman"/>
          <w:b/>
          <w:bCs/>
          <w:sz w:val="22"/>
          <w:szCs w:val="22"/>
        </w:rPr>
        <w:t xml:space="preserve">Integrity: </w:t>
      </w:r>
      <w:r>
        <w:rPr>
          <w:rFonts w:ascii="Times New Roman" w:cs="Times New Roman" w:eastAsia="Times New Roman" w:hAnsi="Times New Roman"/>
          <w:sz w:val="22"/>
          <w:szCs w:val="22"/>
        </w:rPr>
        <w:t xml:space="preserve">declare all AI assistance and third-party tools/datasets with usage evidence, per the RBL submission guideline.</w:t>
      </w:r>
    </w:p>
    <w:p>
      <w:pPr>
        <w:spacing w:after="80" w:before="180"/>
      </w:pPr>
      <w:r>
        <w:rPr>
          <w:rFonts w:ascii="Times New Roman" w:cs="Times New Roman" w:eastAsia="Times New Roman" w:hAnsi="Times New Roman"/>
          <w:b/>
          <w:bCs/>
          <w:sz w:val="26"/>
          <w:szCs w:val="26"/>
        </w:rPr>
        <w:t xml:space="preserve">9. Suggested Next Steps for the Team</w:t>
      </w:r>
    </w:p>
    <w:p>
      <w:pPr>
        <w:pStyle w:val="ListParagraph"/>
        <w:numPr>
          <w:ilvl w:val="0"/>
          <w:numId w:val="2"/>
        </w:numPr>
        <w:spacing w:after="40"/>
        <w:jc w:val="both"/>
      </w:pPr>
      <w:r>
        <w:rPr>
          <w:rFonts w:ascii="Times New Roman" w:cs="Times New Roman" w:eastAsia="Times New Roman" w:hAnsi="Times New Roman"/>
          <w:sz w:val="22"/>
          <w:szCs w:val="22"/>
        </w:rPr>
        <w:t xml:space="preserve">Install pyKT + EduData; reproduce DKT/AKT prediction results on ASSISTments2009 to validate the pipeline (Week 1–2).</w:t>
      </w:r>
    </w:p>
    <w:p>
      <w:pPr>
        <w:pStyle w:val="ListParagraph"/>
        <w:numPr>
          <w:ilvl w:val="0"/>
          <w:numId w:val="2"/>
        </w:numPr>
        <w:spacing w:after="40"/>
        <w:jc w:val="both"/>
      </w:pPr>
      <w:r>
        <w:rPr>
          <w:rFonts w:ascii="Times New Roman" w:cs="Times New Roman" w:eastAsia="Times New Roman" w:hAnsi="Times New Roman"/>
          <w:sz w:val="22"/>
          <w:szCs w:val="22"/>
        </w:rPr>
        <w:t xml:space="preserve">Add Junyi and POJ; confirm all three load end-to-end before writing anything else.</w:t>
      </w:r>
    </w:p>
    <w:p>
      <w:pPr>
        <w:pStyle w:val="ListParagraph"/>
        <w:numPr>
          <w:ilvl w:val="0"/>
          <w:numId w:val="2"/>
        </w:numPr>
        <w:spacing w:after="40"/>
        <w:jc w:val="both"/>
      </w:pPr>
      <w:r>
        <w:rPr>
          <w:rFonts w:ascii="Times New Roman" w:cs="Times New Roman" w:eastAsia="Times New Roman" w:hAnsi="Times New Roman"/>
          <w:sz w:val="22"/>
          <w:szCs w:val="22"/>
        </w:rPr>
        <w:t xml:space="preserve">Implement the simulator-based sequencing evaluation and the 3 baseline policies.</w:t>
      </w:r>
    </w:p>
    <w:p>
      <w:pPr>
        <w:pStyle w:val="ListParagraph"/>
        <w:numPr>
          <w:ilvl w:val="0"/>
          <w:numId w:val="2"/>
        </w:numPr>
        <w:spacing w:after="40"/>
        <w:jc w:val="both"/>
      </w:pPr>
      <w:r>
        <w:rPr>
          <w:rFonts w:ascii="Times New Roman" w:cs="Times New Roman" w:eastAsia="Times New Roman" w:hAnsi="Times New Roman"/>
          <w:sz w:val="22"/>
          <w:szCs w:val="22"/>
        </w:rPr>
        <w:t xml:space="preserve">Run the full grid (models × datasets × policies); compute accuracy–utility correlation.</w:t>
      </w:r>
    </w:p>
    <w:p>
      <w:pPr>
        <w:pStyle w:val="ListParagraph"/>
        <w:numPr>
          <w:ilvl w:val="0"/>
          <w:numId w:val="2"/>
        </w:numPr>
        <w:spacing w:after="40"/>
        <w:jc w:val="both"/>
      </w:pPr>
      <w:r>
        <w:rPr>
          <w:rFonts w:ascii="Times New Roman" w:cs="Times New Roman" w:eastAsia="Times New Roman" w:hAnsi="Times New Roman"/>
          <w:sz w:val="22"/>
          <w:szCs w:val="22"/>
        </w:rPr>
        <w:t xml:space="preserve">Draft Sections 4–5 first (methodology &amp; results), then Introduction &amp; Related Work; finalise abstract last.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2026-09-24T16:50:06.789Z</dcterms:created>
  <dcterms:modified xsi:type="dcterms:W3CDTF">2026-09-24T16:50:06.799Z</dcterms:modified>
</cp:coreProperties>
</file>

<file path=docProps/custom.xml><?xml version="1.0" encoding="utf-8"?>
<Properties xmlns="http://schemas.openxmlformats.org/officeDocument/2006/custom-properties" xmlns:vt="http://schemas.openxmlformats.org/officeDocument/2006/docPropsVTypes"/>
</file>