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Gaming Rapoo VH110 RGB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Rapoo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315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Giao tiếp: USB Port, 3.5mm audio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Button (nút): Nút tăng/giảm âm lượng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Tần số đáp ứng: 20 Hz-20 KHz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Trở kháng: 32 Ohm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Độ nhạy: 103 +/-3dB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Chiều dài dây: 2m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Màng loa: 50mm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Đèn Chụp Tai: RGB 16 triệu màu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Tương thích: Windows 7 trở lên, macOS 10.15 trở lên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