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 nghe Gaming Rapoo VH310 RGB Virtual 7.1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Thương hiệu : Rapoo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Bảo hành: 24 tháng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Màu sắc: Đen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Khối lượng: 350 gram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tai nghe: Đeo đầu, chụp kín tai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Microphone: Có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kết nối: Có dây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Mô tả khác: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Hiệu ứng âm thanh Virtual 7.1</w:t>
        <w:br w:type="textWrapping"/>
        <w:t xml:space="preserve">Chức năng điều khiển đa chức năng trên dây</w:t>
        <w:br w:type="textWrapping"/>
        <w:t xml:space="preserve">Microphone khử ồn ENC cho cuộc hội thoại HD, rõ ràng ổn định.</w:t>
        <w:br w:type="textWrapping"/>
        <w:t xml:space="preserve">Có LED nhịp thở định vị bắt mắt.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