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Tai nghe Logitech G733 LIGHTSPEED Wireless Black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Thương hiệu : Logitech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Bảo hành: 24 tháng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Màu sắc: Đen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Khối lượng: 278 gram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tai nghe: Chùm tai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Microphone: Có thể tháo rời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Kiểu kết nối: Không dây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Thời lượng pin: 29 giờ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Phụ kiện đi kèm: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Hướng dẫn sử dụng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USB Reciever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Cáp sạc USB type A to USB type C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