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 nghe Logitech Pro X Surround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Thương hiệu : Logitech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Màu sắc: Đen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Khối lượng: 320 gram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tai nghe: Chùm tai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Microphone: Có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kết nối: Có dây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